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665"/>
        <w:gridCol w:w="116"/>
        <w:gridCol w:w="637"/>
        <w:gridCol w:w="702"/>
        <w:gridCol w:w="716"/>
        <w:gridCol w:w="850"/>
        <w:gridCol w:w="624"/>
        <w:gridCol w:w="34"/>
        <w:gridCol w:w="1468"/>
        <w:gridCol w:w="709"/>
        <w:gridCol w:w="559"/>
        <w:gridCol w:w="8"/>
        <w:gridCol w:w="1275"/>
        <w:gridCol w:w="1133"/>
        <w:gridCol w:w="6"/>
        <w:gridCol w:w="3186"/>
        <w:gridCol w:w="11"/>
        <w:gridCol w:w="414"/>
        <w:gridCol w:w="567"/>
        <w:gridCol w:w="11"/>
        <w:gridCol w:w="50"/>
      </w:tblGrid>
      <w:tr w:rsidR="00330769" w:rsidRPr="00365623" w14:paraId="338B139A" w14:textId="77777777" w:rsidTr="00CB4089">
        <w:trPr>
          <w:trHeight w:val="795"/>
        </w:trPr>
        <w:tc>
          <w:tcPr>
            <w:tcW w:w="155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7810" w14:textId="2C044BC3" w:rsidR="00330769" w:rsidRPr="00365623" w:rsidRDefault="00330769" w:rsidP="0033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202020"/>
                <w:sz w:val="28"/>
                <w:szCs w:val="28"/>
                <w:lang w:eastAsia="ru-RU"/>
              </w:rPr>
              <w:t xml:space="preserve">Мониторинг исполнения Стратегии социально-экономического развития МР </w:t>
            </w:r>
            <w:r>
              <w:rPr>
                <w:rFonts w:ascii="Tahoma" w:eastAsia="Times New Roman" w:hAnsi="Tahoma" w:cs="Tahoma"/>
                <w:color w:val="202020"/>
                <w:sz w:val="28"/>
                <w:szCs w:val="28"/>
                <w:lang w:eastAsia="ru-RU"/>
              </w:rPr>
              <w:t>«</w:t>
            </w:r>
            <w:proofErr w:type="spellStart"/>
            <w:r w:rsidRPr="00365623">
              <w:rPr>
                <w:rFonts w:ascii="Tahoma" w:eastAsia="Times New Roman" w:hAnsi="Tahoma" w:cs="Tahoma"/>
                <w:color w:val="202020"/>
                <w:sz w:val="28"/>
                <w:szCs w:val="28"/>
                <w:lang w:eastAsia="ru-RU"/>
              </w:rPr>
              <w:t>Сыктывдинский</w:t>
            </w:r>
            <w:proofErr w:type="spellEnd"/>
            <w:r>
              <w:rPr>
                <w:rFonts w:ascii="Tahoma" w:eastAsia="Times New Roman" w:hAnsi="Tahoma" w:cs="Tahoma"/>
                <w:color w:val="202020"/>
                <w:sz w:val="28"/>
                <w:szCs w:val="28"/>
                <w:lang w:eastAsia="ru-RU"/>
              </w:rPr>
              <w:t>»</w:t>
            </w:r>
            <w:r w:rsidRPr="00365623">
              <w:rPr>
                <w:rFonts w:ascii="Tahoma" w:eastAsia="Times New Roman" w:hAnsi="Tahoma" w:cs="Tahoma"/>
                <w:color w:val="202020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EA15" w14:textId="77777777" w:rsidR="00330769" w:rsidRPr="00365623" w:rsidRDefault="00330769" w:rsidP="0036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23" w:rsidRPr="00365623" w14:paraId="43786509" w14:textId="77777777" w:rsidTr="00330769">
        <w:trPr>
          <w:gridAfter w:val="2"/>
          <w:wAfter w:w="61" w:type="dxa"/>
          <w:trHeight w:val="675"/>
        </w:trPr>
        <w:tc>
          <w:tcPr>
            <w:tcW w:w="11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797BCAF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Задачи Стратегии муниципального образования по блокам (направления решения задачи Стратегии муниципального образования)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1D2665A3" w14:textId="79F24A41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Наименование целевых индикаторов/показателей, определяющих достижение задач Стратегии муниципального образования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6515D41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117640D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Утверждение (соответствие индикатора/ показателя Стратегии муниципального образования)</w:t>
            </w:r>
          </w:p>
        </w:tc>
        <w:tc>
          <w:tcPr>
            <w:tcW w:w="292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00A21A5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Значение целевого индикатора Стратегии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65D9A28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Мероприятия, направленные на решение задач Стратегии муниципального образования и достижение целевого индикатора/показателя</w:t>
            </w:r>
          </w:p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693DA30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Срок реализации мероприятия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7CA37A5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1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269923B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Пояснения муниципального образования (включая меры по исправлению ситуации)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9D9D9"/>
            <w:vAlign w:val="center"/>
            <w:hideMark/>
          </w:tcPr>
          <w:p w14:paraId="5BFAE6E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Предложения органов исполнительной власти РК по корректировке муниципальной политики</w:t>
            </w:r>
          </w:p>
        </w:tc>
      </w:tr>
      <w:tr w:rsidR="00365623" w:rsidRPr="00365623" w14:paraId="3433E31F" w14:textId="77777777" w:rsidTr="00330769">
        <w:trPr>
          <w:gridAfter w:val="1"/>
          <w:wAfter w:w="50" w:type="dxa"/>
          <w:trHeight w:val="1349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CC8EA8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DB0CB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83E57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706819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3FA6274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План 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643E2CE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Факт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404C9C4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% выполнения плана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56139F1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9CB0CA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0DB1073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План 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5B6F54D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Факт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5916F0A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План отчетного периода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center"/>
            <w:hideMark/>
          </w:tcPr>
          <w:p w14:paraId="601C39F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  <w:r w:rsidRPr="00365623"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Факт отчетного периода</w:t>
            </w:r>
          </w:p>
        </w:tc>
        <w:tc>
          <w:tcPr>
            <w:tcW w:w="3203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5E8DB7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1389EE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8"/>
                <w:szCs w:val="18"/>
                <w:lang w:eastAsia="ru-RU"/>
              </w:rPr>
            </w:pPr>
          </w:p>
        </w:tc>
      </w:tr>
      <w:tr w:rsidR="00365623" w:rsidRPr="00365623" w14:paraId="6F372A22" w14:textId="77777777" w:rsidTr="00330769">
        <w:trPr>
          <w:trHeight w:val="285"/>
        </w:trPr>
        <w:tc>
          <w:tcPr>
            <w:tcW w:w="31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59CFDBE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  <w:t>1. Экономическое развитие</w:t>
            </w:r>
          </w:p>
        </w:tc>
        <w:tc>
          <w:tcPr>
            <w:tcW w:w="1296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BF47E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8F7618B" w14:textId="77777777" w:rsidTr="00330769">
        <w:trPr>
          <w:gridAfter w:val="1"/>
          <w:wAfter w:w="50" w:type="dxa"/>
          <w:trHeight w:val="1267"/>
        </w:trPr>
        <w:tc>
          <w:tcPr>
            <w:tcW w:w="11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584EC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1.1 Создание условий для развития экономики муниципального района "</w:t>
            </w:r>
            <w:proofErr w:type="spellStart"/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0D37FB7" w14:textId="2C10B016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Оборот организации (в сопоставимых ценах)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CD74B4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A6F945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9F59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E852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F816D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92,80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890395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FF4FAF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Оказание имущественной поддержки субъектам малого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D150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C56A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205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Предоставление муниципального имущества и земельных участков не менее 1 субъекту малого и среднего предпринимательства.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355E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было предоставлено 288 земельных участков на условиях аренды и купли-продажи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2CCB8" w14:textId="57C10286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Уменьшение  оборота организаций и снижение темпов роста объемов отгруженных товаров собственного производства В 2019 году по сравнению с предыдущим годом упал оборот организаций, в отчетном году он составил 96,7% к уровню прошлого года или  6402,95 млн.  руб., что в абсолютных величинах меньше на 216,8 млн. рублей, показатель, не достигнут на 4,4%.   Не достигнут также показатель темпов роста объемов отгруженных товаров собственного производства на 1,2% при плане 101,1%, рост объемов отгруженных товаров собственного производства муниципального района в 2019 году составил 100,9%. Причинами спада объемов и темпов роста можно назвать: 1)  Уменьшение объемов отгруженных товаров обрабатывающих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производств на 5,6% или 214 млн. рублей в отчетном году по сравнению с предыдущим годом, снизилось производство  колбас, лесоматериалов из лиственных пород; 2) Ухудшение финансовой устойчивости и отсутствие оборотных средств у предприятий, 3) Снижение покупательской способности населения, ориентация его на более дешёвый товар, услугу.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4046DD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65623" w:rsidRPr="00365623" w14:paraId="5C51FE06" w14:textId="77777777" w:rsidTr="00330769">
        <w:trPr>
          <w:gridAfter w:val="1"/>
          <w:wAfter w:w="50" w:type="dxa"/>
          <w:trHeight w:val="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65FC6C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91766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79207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DF728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738DA0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11924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2606D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E207E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F56FF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районных мероприятий (совещаний, "круглых столов", обучающих семинаров и т.п.) отраслевой направленности в сфере малого и среднего предпринимательства с привлечением потенциальных инвесторов.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916A1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EB88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451E" w14:textId="7AEB9FA1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15 мероприятий (</w:t>
            </w:r>
            <w:r w:rsidR="00453E8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совещаний, «круглых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столов</w:t>
            </w:r>
            <w:r w:rsidR="00453E8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и т.п.) отраслевой направленности в сфере малого и среднего предпринимательства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D6D5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проведено 17 совещаний с субъектами малого и среднего предпринимательства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4321" w14:textId="72DB95AD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Уменьшение  оборота организаций и снижение темпов роста объемов отгруженных товаров собственного производства В 2019 году по сравнению с предыдущим годом упал оборот организаций, в отчетном году он составил 96,7% к уровню прошлого года или  6402,95 млн.  руб., что в абсолютных величинах меньше на 216,8 млн. рублей, показатель, не достигнут на 4,4%.   Не достигнут также показатель темпов роста объемов отгруженных товаров собственного производства на 1,2% при плане 101,1%, рост объемов отгруженных товаров собственного производства муниципального района в 2019 году составил 100,9%. Причинами спада объемов и темпов роста можно назвать: 1)  Уменьшение объемов отгруженных товаров обрабатывающих производств на 5,6% или 214 млн. рублей в отчетном году по сравнению с предыдущим годом, снизилось производство  колбас, лесоматериалов из лиственных пород; 2) Ухудшение финансовой устойчивости и отсутствие оборотных средств у предприятий, 3) Снижение покупательской способности населения, ориентация его на более дешёвый товар, услугу.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93F60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B72CE42" w14:textId="77777777" w:rsidTr="00330769">
        <w:trPr>
          <w:gridAfter w:val="1"/>
          <w:wAfter w:w="50" w:type="dxa"/>
          <w:trHeight w:val="609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08B0EB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1C0307E" w14:textId="0785577F" w:rsidR="00365623" w:rsidRPr="00365623" w:rsidRDefault="00330769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Отгружено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товаров собственного производства, выполнено работ и услуг собстве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нными силами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510F31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4B993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1E99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AFD1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EBBBD1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351C02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2452C6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районных мероприятий (совещаний, "круглых столов", обучающих семинаров и т.п.) отраслевой направленности в сфере малого и среднего предпринимательства с привлечением потенциальных инвесторов.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520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E460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0F946" w14:textId="6B3F6474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15 мероприятий (</w:t>
            </w:r>
            <w:r w:rsidR="00453E8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совещаний, «круглых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столов</w:t>
            </w:r>
            <w:r w:rsidR="00453E8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и т.п.) отраслевой направленности в сфере малого и среднего предпринимательства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7B98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проведено 17 совещаний с субъектами малого и среднего предпринимательства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5A513" w14:textId="34DB4521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Уменьшение  оборота организаций и снижение темпов роста объемов отгруженных товаров собственного производства В 2019 году по сравнению с предыдущим годом упал оборот организаций, в отчетном году он составил 96,7% к уровню прошлого года или  6402,95 млн.  руб., что в абсолютных величинах меньше на 216,8 млн. рублей, показатель, не достигнут на 4,4%.   Не достигнут также показатель темпов роста объемов отгруженных товаров собственного производства на 1,2% при плане 101,1%, рост объемов отгруженных товаров собственного производства муниципального района в 2019 году составил 100,9%. Причинами спада объемов и темпов роста можно назвать: 1)  Уменьшение объемов отгруженных товаров обрабатывающих производств на 5,6% или 214 млн. рублей в отчетном году по сравнению с предыдущим годом, снизилось производство  колбас, лесоматериалов из лиственных пород; 2) Ухудшение финансовой устойчивости и отсутствие оборотных средств у предприятий, 3) Снижение покупательской способности населения, ориентация его на более дешёвый товар, услугу.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C6A776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3D6DF908" w14:textId="77777777" w:rsidTr="00330769">
        <w:trPr>
          <w:gridAfter w:val="1"/>
          <w:wAfter w:w="50" w:type="dxa"/>
          <w:trHeight w:val="45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5F83C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14F664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E13645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8FE5B4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10A5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377,00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75B8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7EA6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87,53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8CA3F0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DFFA2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Оказание финансовой, имущественной, консультационной и информационной поддержки субъектам малого и среднего предпринимательства.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BABF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51E73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2129A9" w14:textId="715588E4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Предоставление не менее 30 консультаций в 2019 году.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8271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администрацией района предоставлено 127 индивидуальных консультаций.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0F759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По состоянию на 1 января 2020 года малым бизнесов занято 83% всех хозяйствующих субъектов района, это 806 ед., в том числе: 192 – общества с ограниченной ответственностью;  2  - акционерных общества;  4 - потребительских кооператива;  608 - индивидуальных предпринимателя. На снижение численности субъектов малого и среднего предпринимательства продолжают влиять следующие факторы: - увеличение минимального размера оплаты труда и НДС; - уменьшение численности юридических лиц на 23 единицы по сравнению с 2018 годом, наряду с увеличением числа ИП на 30 ед.; - увлечение численности населения района на 38 человек за счет естественного прироста и миграционного притока, применяемого в расчете данного показателя.. На 2020 годы в связи </w:t>
            </w:r>
            <w:bookmarkStart w:id="0" w:name="_Hlk42510165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со сложившейся неблагоприятной экономической ситуацией, связанной с распространением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инфекции</w:t>
            </w:r>
            <w:bookmarkEnd w:id="0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, также планируется снижения количества субъектов МСП до 328 ед. на 10 тыс. населения. На 2021-2022 годы планируется постепенное увеличение значение данного показателя.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C1F077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11BE9E9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F7867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8EE65E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Оборот малых предприятий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CC87DF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94B91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E14E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718,20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3CDE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C02DA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4A3513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87012D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Оказание финансовой, имущественной, консультационной и информационной поддержки субъектам малого и среднего предпринимательства.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E68E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AB69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A93F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Предоставление субсидий на возмещение части затрат на уплату первоначального взноса при заключении договора финансовой аренды (лизинга) не менее 1 субъекту малого и среднего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предпринимательства.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A786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 xml:space="preserve">В 2019 году субсидий на возмещение части затрат на уплату первоначального взноса при заключении договора финансовой аренды (лизинга) предоставлена 1 субъекту малого и среднего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предпринимательства.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9671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нет статистических данных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A56057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563A9E8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E9876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FB784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541B55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D6FFB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1C9D9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D5A33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E318C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3B1D3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6DC3E9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районных мероприятий (совещаний, "круглых столов", обучающих семинаров и т.п.) отраслевой направленности в сфере малого и среднего предпринимательства.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9F38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951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B5E1" w14:textId="6233D385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15 мероприятий (совещаний, «круглых столов" и т.п.) отраслевой направленности в сфере малого и среднего предпринимательства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92B6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проведено 17 совещаний с субъектами малого и среднего предпринимательства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26D1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нет статистических данных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FDF524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9B43AFE" w14:textId="77777777" w:rsidTr="00330769">
        <w:trPr>
          <w:gridAfter w:val="1"/>
          <w:wAfter w:w="50" w:type="dxa"/>
          <w:trHeight w:val="24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7A13E8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55A70F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bookmarkStart w:id="1" w:name="_Hlk42506212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иностранных и российских посетителей МО</w:t>
            </w:r>
            <w:bookmarkEnd w:id="1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9AC8AB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тыс.чел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B52B0A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EC6A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827B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89A90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155,32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6260E7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D05C9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Разработка и реализация приоритетных проектов в сфере туризма.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CCDB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C8FA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050C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Увеличение количества иностранных и российских посетителей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81BB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увеличилось количество иностранных и российских посетителей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и составило 9,63 тыс. человек, что на 155,32% больше запланированного значения (6,20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тыс.чел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.).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D1101" w14:textId="02764B13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bookmarkStart w:id="2" w:name="_Hlk42506188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показателя связано с тем, что</w:t>
            </w:r>
            <w:r w:rsidR="00A00A9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2019 год</w:t>
            </w:r>
            <w:r w:rsidR="00A00A9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был</w:t>
            </w:r>
            <w:r w:rsidR="00A00A9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проведено более 200 мероприятий посвящённых юбилею муниципального района, (90 лет со дня образования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»). Кроме того, был получен грант Республики Коми в размере 1 млн. руб. на проведение фестиваля "Завалинка".</w:t>
            </w:r>
            <w:bookmarkEnd w:id="2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0222A0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D7A887D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480F4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17F951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Объём валовой продукции сельского хозяйства (в хозяйствах всех категорий в фактических ценах)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687CCA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млн.руб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2C3041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02B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5 222,16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E8FE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D835E9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3D1BB1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00396E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встреч, круглых столов, семинаров с сельскохозяйственными товаропроизводителями по вопросам внедрения новых технологий при производстве сельскохозяйственной продукции.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C120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A3B4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1EBC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 встречи с сельскохозяйственными товаропроизводителями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E7C2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4 совещания с сельхоз товаропроизводителями.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E6D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нет статистических данных.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27855A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3E09BED3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D2EC52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C0AF2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0C28D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2876B7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37AC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9A1A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BC269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140,91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D223AD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539045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встреч, круглых столов, семинаров, предоставление консультации и информации по создание и развитие крестьянского (фермерского) хозяйств, вовлечение молодежи в предпринимательскую деятельность.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8E94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9466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4E9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Создание в 2019 году 2 (двух) крестьянских (фермерских) хозяйства.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7AB6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было создано 6 К(Ф)Х.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7B4D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01398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2654886" w14:textId="77777777" w:rsidTr="00330769">
        <w:trPr>
          <w:gridAfter w:val="1"/>
          <w:wAfter w:w="50" w:type="dxa"/>
          <w:trHeight w:val="204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6EA6E03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A8B15E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 - электрическая энергия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D3E3D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кВт/ч на 1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</w:t>
            </w:r>
            <w:proofErr w:type="gram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FD9377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130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183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920A09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3BCD4A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E37262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Внедрение энергосберегающих технологий, оборудования и материалов в бюджетной сфере.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F2F9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495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137380" w14:textId="7FF042B6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"Уменьшение удельной величины потребления муниципальными бюджетными учреждениями;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- электрической энергии в 2019 году до 126,2 кВт/ч на 1 чел.;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2F5D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произошло уменьшение удельной величины потребления муниципальными бюджетными учреждениями электрической энергии с 139,1 кВт/ч на 1 чел. до 126,20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кВт/ч на 1 чел.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E8BC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A62EF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5E1473E" w14:textId="77777777" w:rsidTr="00330769">
        <w:trPr>
          <w:gridAfter w:val="1"/>
          <w:wAfter w:w="50" w:type="dxa"/>
          <w:trHeight w:val="204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9C0164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5EE227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 - тепловая энергия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ACC72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Гкал на 1 кв. м. </w:t>
            </w:r>
            <w:proofErr w:type="spellStart"/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об.площ</w:t>
            </w:r>
            <w:proofErr w:type="spellEnd"/>
            <w:proofErr w:type="gram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E603B0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C4F63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6C68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99A9FA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BEC950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E1D033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Внедрение энергосберегающих технологий, оборудования и материалов в бюджетной сфере.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1CD4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D8E9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FFB9B" w14:textId="77777777" w:rsidR="000F6804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"Уменьшение удельной величины потребления муниципальными бюджетными учреждениями; </w:t>
            </w:r>
          </w:p>
          <w:p w14:paraId="3553F040" w14:textId="33F7AC3B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- тепловой энергии до 0,157 Гкал на 1 кв. м. </w:t>
            </w:r>
            <w:proofErr w:type="spellStart"/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об.площ</w:t>
            </w:r>
            <w:proofErr w:type="spellEnd"/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4A65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по итогам 2019 года произошло небольшое снижение удельной величины потребления муниципальными бюджетными учреждениями тепловой энергии до 0,156   Гкал на 1 кв. м. </w:t>
            </w:r>
            <w:proofErr w:type="spellStart"/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об.площ</w:t>
            </w:r>
            <w:proofErr w:type="spellEnd"/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DF7F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7EF74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5A8AA4D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E76F74F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FA46C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 - холодная вода.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78FE4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куб.м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на 1чел.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CC0C5E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551B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D8E2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5D488B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99,56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58D1CE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199EC7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Внедрение энергосберегающих технологий, оборудования и материалов в бюджетной сфере.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2177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B99A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97AD7" w14:textId="77777777" w:rsidR="000F6804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"Уменьшение удельной величины потребления муниципальными бюджетными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учреждениями; </w:t>
            </w:r>
          </w:p>
          <w:p w14:paraId="6BE1AE6C" w14:textId="2D7B68D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- холодной воды до 2,273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куб.м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на 1 чел."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D458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Удельная величина потребления муниципальными бюджетными учреждениями холодной воды по итогам 2019 года составила 2,28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куб.м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на 1 чел.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0C28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Несмотря на недостижение плановых значений по итогам 2019 года удалось снизить данное значение показателя по сравнению с 2018 года (2018 г. значение показателя было 2,34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куб.м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на 1 чел.).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838C4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B3C0ACA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9A1C2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D369EEA" w14:textId="6CE3BC0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аварий на объектах коммунальной </w:t>
            </w:r>
            <w:r w:rsidR="00330769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инфраструктуры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37B714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1B6259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CAF1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565F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305641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0DD720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A6CBF8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Капитальный ремонт (ремонт) объектов коммунального хозяйства и инженерной инфраструктуры, в том числе сетей электро-, тепло-, водоснабжения, водоотведения, ливневой и дренажной канализации (в том числе ремонт и восстановление колодцев, решеток ливневой канализации).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B887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AFAE7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639D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 более 2-х случаев аварий на объектах коммунальной инфраструктуры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E91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на территории района не было аварий на объектах коммунальной инфраструктуры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CC89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проведены работы по замене 0,808 км ветхих тепловых сетей (в с.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Пажга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Яснэг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Палевицы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Ыб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Шошка, Слудка, Зеленец), что позволило сохранить значение показателя на уровне 2018 года. В 2020 году планируется продолжить работу по замене ветхих тепловых и ветхих водопроводных сетей. В результате замены 1,230 км. ветхих водопроводных сетей  горячего водоснабжения (в с.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Пажга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Яснэг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Шошка, Слудка,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Палевицы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Часово,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Ыб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Зеленец), удалось в 2019 году сохранить значение показателя на уровне 2018 года..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D9090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0903A1B4" w14:textId="77777777" w:rsidTr="00330769">
        <w:trPr>
          <w:gridAfter w:val="1"/>
          <w:wAfter w:w="50" w:type="dxa"/>
          <w:trHeight w:val="24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76B88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A92086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585C5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м.общ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.площ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BDA323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666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6B679" w14:textId="77777777" w:rsidR="00CF7E35" w:rsidRDefault="00CF7E35" w:rsidP="00CF7E35">
            <w:pPr>
              <w:jc w:val="center"/>
              <w:rPr>
                <w:rFonts w:ascii="Tahoma" w:hAnsi="Tahoma" w:cs="Tahoma"/>
                <w:color w:val="505050"/>
                <w:sz w:val="16"/>
                <w:szCs w:val="16"/>
              </w:rPr>
            </w:pPr>
            <w:r>
              <w:rPr>
                <w:rFonts w:ascii="Tahoma" w:hAnsi="Tahoma" w:cs="Tahoma"/>
                <w:color w:val="505050"/>
                <w:sz w:val="16"/>
                <w:szCs w:val="16"/>
              </w:rPr>
              <w:t>22 138,00</w:t>
            </w:r>
          </w:p>
          <w:p w14:paraId="659A61A0" w14:textId="3A25EC73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EA024E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527,10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B4430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E7B40B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мероприятий (совещаний, рабочих встреч и т.п.) по поиску потенциальных инвесторов по комплексному освоению территории в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EDE5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5551A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A528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Введено в эксплуатацию в 2019 году 4200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общей площади жилых помещений.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CDD6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введено в эксплуатацию 22138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общей площади жилых помещений.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5D85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введено в действие 22138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. жилых помещений, в том числе 19569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жилых домов, построенных населением. Увеличение показателя связано с тем, что граждане активно начали вводить в эксплуатацию свои дома для регистрации и получения льгот, предназначенных для сельских жителей. Кроме того, граждане, получившие субсидию на строительства индивидуального жилого дома, обязаны в течение 1,5 лет ввести дом в эксплуатацию, что также влияет на значение показателя. В плановом периоде также планируется дальнейшее увеличения данного показателя.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83A20A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00E856F" w14:textId="77777777" w:rsidTr="00330769">
        <w:trPr>
          <w:gridAfter w:val="1"/>
          <w:wAfter w:w="50" w:type="dxa"/>
          <w:trHeight w:val="24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5F339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E4BAA8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Ввод в действие жилых домов за счет всех источников финансирования за счет индивидуальных застройщиков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7D917F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м.общ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.площ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E79374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B2D0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F5B37" w14:textId="77777777" w:rsidR="00D76159" w:rsidRDefault="00D76159" w:rsidP="00D76159">
            <w:pPr>
              <w:jc w:val="center"/>
              <w:rPr>
                <w:rFonts w:ascii="Tahoma" w:hAnsi="Tahoma" w:cs="Tahoma"/>
                <w:color w:val="505050"/>
                <w:sz w:val="16"/>
                <w:szCs w:val="16"/>
              </w:rPr>
            </w:pPr>
            <w:r>
              <w:rPr>
                <w:rFonts w:ascii="Tahoma" w:hAnsi="Tahoma" w:cs="Tahoma"/>
                <w:color w:val="505050"/>
                <w:sz w:val="16"/>
                <w:szCs w:val="16"/>
              </w:rPr>
              <w:t>19 569,00</w:t>
            </w:r>
          </w:p>
          <w:p w14:paraId="3E0C791B" w14:textId="6E5EF97C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F8EE6E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1 304,60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3E4EC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9609D6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8451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466A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3857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Предоставление не менее 4 социальных выплат гражданам на строительство (приобретение) жилья.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C4DE4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улучшили жилищные условия 15 семьи, признанные нуждающимися в улучшении жилищных условий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9144A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введено в действие 22138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. жилых помещений, в том числе 19569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жилых домов, построенных населением. Увеличение показателя связано с тем, что граждане активно начали вводить в эксплуатацию свои дома для регистрации и получения льгот, предназначенных для сельских жителей. Кроме того, граждане, получившие субсидию на строительства индивидуального жилого дома, обязаны в течение 1,5 лет ввести дом в эксплуатацию, что также влияет на значение показателя. В плановом периоде также планируется дальнейшее увеличения данного показателя.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C02BCB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79575BF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21BBC9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12DB3F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введенной общей площади жилищного фонда по переселению граждан из аварийного и ветхого жилья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15CAE3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B945E6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586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11AA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1 336,70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1D8ED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133,67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A17AB9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91E4B0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Переселение граждан из аварийного жилищного фонда.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30DB2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53526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E572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Переселение граждан из аварийного и ветхого жилья общей площадью не менее 1000,0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0D9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по программе «Переселения граждан из аварийного жилищного фонда на 2019-2025г.» расселено 108 человек (1336,7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кв.м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.).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B0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0E887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EDD2346" w14:textId="77777777" w:rsidTr="00330769">
        <w:trPr>
          <w:gridAfter w:val="1"/>
          <w:wAfter w:w="50" w:type="dxa"/>
          <w:trHeight w:val="319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D315A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BF2656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газифицированных  жилых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домов (квартир) сетевым газом в сельской местности за период реализации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D293A6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1B218F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73D71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FDC8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E8C305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3263DE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D21ED1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Строительство газопроводов к индивидуальным жилым домам.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2208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63D8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301C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Увеличить количество газифицированных жилых домов (квартир) сетевым газом в сельской местности на 40 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8807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не производилось подключение жилых домов к газораспределительным сетям.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6410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проект на газоснабжение 13 км села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прошел государственную экспертизу, имеет положительное заключение проектно-сметной документации, завершение работ 1 этапа в мае 2020 г. В декабре 2019 года заключен муниципальный контракт. Подготовлена документация для проведения электронного аукциона по производству работ II этапа. Завершить строительство газопровода планируется в IV квартале 2020 года  Администрацией района получено положительное заключение государственной экспертизы от 28.10.2019 по объекту «Строительство газопровода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с.Часово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р-на», финансирование работ предусмотрено в адресной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инвестиционной программе Республики Коми на 2020 год и плановый период 2021 и 2022 годов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FE8BE6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65623" w:rsidRPr="00365623" w14:paraId="21D570DE" w14:textId="77777777" w:rsidTr="00330769">
        <w:trPr>
          <w:trHeight w:val="285"/>
        </w:trPr>
        <w:tc>
          <w:tcPr>
            <w:tcW w:w="31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9F149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  <w:t>2. Социальное развитие</w:t>
            </w:r>
          </w:p>
        </w:tc>
        <w:tc>
          <w:tcPr>
            <w:tcW w:w="1296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5E4B3E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E4322AA" w14:textId="77777777" w:rsidTr="00330769">
        <w:trPr>
          <w:gridAfter w:val="1"/>
          <w:wAfter w:w="50" w:type="dxa"/>
          <w:trHeight w:val="3000"/>
        </w:trPr>
        <w:tc>
          <w:tcPr>
            <w:tcW w:w="11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57BBFC" w14:textId="77777777" w:rsidR="00365623" w:rsidRPr="00365623" w:rsidRDefault="00365623" w:rsidP="003656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2.1 Развитие социальной с сферы и обеспечения социальной стабильности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D3630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C8ACB0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39B89F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861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55CD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175C6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92,03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53FB88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96CAD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Строительство и реконструкция учреждений образования, создание дополнительных мест в детских дошкольных образовательных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669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879D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699D9" w14:textId="0E786EDE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до 74,0</w:t>
            </w:r>
            <w:r w:rsidR="00453E8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8FFE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составила 68,1 %.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D6A3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Не достижения плановых значений показателя по итогам 2019 года связано с увеличением количества детей в возрасте от 1 до 6 лет. На 2020-2022 годы панируется увеличит количества детей, получающих дошкольную образовательную услугу за счёт введения в эксплуатацию строящегося в с.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детского сада на 270 мест.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E1106E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03248761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959DB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6D033AB" w14:textId="786BB1D1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</w:t>
            </w:r>
            <w:r w:rsidR="00330769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численности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детей в возрасте 1 - 6 лет.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C5B1E3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EA1BC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D3D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B89F7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6CB2B7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B4E6E4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AE8BC8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Строительство и реконструкция учреждений образования, создание дополнительных мест в детских дошкольных образовательных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949B9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044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B5E33" w14:textId="0F0D927A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доли детей,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получающих дошкольную образовательную услугу и (или) услугу по их содержанию в муниципальных образовательных учреждениях.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9CA2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по итогам 2019 года составила 10,58 %.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C3AA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Несмотря на недостижение плановых значений показателя по итогам 2019 года по сравнению с 2018 годам его значение увеличилось на 4,3 пункта. На 2020-2022 годы панируется увеличит количества детей, получающих дошкольную образовательную услугу за счёт введения в эксплуатацию строящихся детских садов в с. Часово на 35 мест и с.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на 270 мест.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BA279B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088F08F" w14:textId="77777777" w:rsidTr="00330769">
        <w:trPr>
          <w:gridAfter w:val="1"/>
          <w:wAfter w:w="50" w:type="dxa"/>
          <w:trHeight w:val="262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6A3E33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5E0F99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Доля выпускников муниципальных ОО, сдавших единый государственный экзамен по русскому языку и математике к общей численности выпускников, сдававших единый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государственный экзамен по предметам.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2D3857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7B348B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9A0A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5BA8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D22ABC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624FB7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3CFB59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мероприятий, направленных на подготовку к сдаче ЕГЭ (обучающих семинаров, классных собраний, сдача пробных тестов, выезды в профильные учреждения и т.п.) с учениками выпускных классов.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6F01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6B5E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DDE5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 мероприятия в месяц, с учениками выпускных классов по подготовке к сдаче ЕГЭ.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7DE5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8 мероприятий, с учениками выпускных классов по подготовке к сдаче ЕГЭ.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798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управление образования разработана Дорожная карта по подготовке к итоговой аттестации на уровне муниципалитета и в школах. Проведены пробные экзамены по предметам, в которых приняли участие 64 чел. Активно использовались онлайн-платформы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F89478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AD83FFB" w14:textId="77777777" w:rsidTr="00330769">
        <w:trPr>
          <w:gridAfter w:val="1"/>
          <w:wAfter w:w="50" w:type="dxa"/>
          <w:trHeight w:val="261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818FD8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78088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EC836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78FF2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E07C3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0B158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461FC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3D1A0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1CACD4" w14:textId="38A6BDCD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Развитие кадровых ресурсов </w:t>
            </w:r>
            <w:r w:rsidR="00CB4089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системы общего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образования.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F078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769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29A0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Направление не менее 100 чел. педагогических и руководящих работников образовательных организаций на повышение профессионального уровня через курсовую подготовку и организацию межкурсовой методической работы.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C05A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Курсовую переподготовку в 2019 году прошли 208 педагогических и руководящих работников образовательных организаций.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12B2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F1A1C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A69BC3C" w14:textId="77777777" w:rsidTr="00330769">
        <w:trPr>
          <w:gridAfter w:val="1"/>
          <w:wAfter w:w="50" w:type="dxa"/>
          <w:trHeight w:val="339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1B8794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C2D1B4D" w14:textId="4B03196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Доля детей в возрасте 5 - 18 лет, получивших услуги по дополнительному </w:t>
            </w:r>
            <w:r w:rsidR="00330769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образованию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97D06F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C8192E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D082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E730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B7053A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104,41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F45DB7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00A3F1" w14:textId="0F34214F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Проведение мероприятий (агитационной работы) по привлечению несовершеннолетних, в том числе с девиантным поведением, во внеурочную деятельность на базе общеобразовательных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организаций и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организаций дополнительного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E34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C79A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3E4A5" w14:textId="26CA875A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Проведены не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менее 2-х мероприятий в квартал с детьми и молодежью, в том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числе с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   несовершеннолетними с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девиантным поведением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53C6" w14:textId="4435D67B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проведено 13 мероприятий с детьми и молодежью, в том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числе с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   несовершеннолетними с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девиантным поведением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5B7D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Рост охвата детей дополнительным образованием связан с увеличением количества детей дошкольного возраста (на 24 человека), кроме того, увеличение численности произошло за счет детей, охваченных услугами дополнительного образования у ИП (н-р,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English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time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» в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Выльгорте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). Увеличилось количество воспитанников Центров дополнительного образования, это связано с увеличением и разнообразием программ дополнительного образования, внедрением новых направлений деятельности.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CB402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1B78480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674B58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6C2715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Наличие молодежных волонтерских движений.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C8318E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да - 1 / нет - 0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C5F514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CDD5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2B5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7EC50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59680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AF876C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мероприятий (встреч, круглых столов, совещаний и т.п.) с молодёжью и молодёжными движениями по содействию гражданскому становлению и самореализации молодёжи, увеличению вклада молодого поколения в экономическое и социальное развитие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F1D73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AE6F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ABD1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40 мероприятий в 2019 году. Наличие молодежных волонтерских движений - 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DEE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60 мероприятий. Общее количество волонтёров - 170, количество волонтерских объединений в муниципальном образовании - 11.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712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E90BD3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FBE82F8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63121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BB901C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bookmarkStart w:id="3" w:name="_Hlk42507881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Рост посещаемости учреждений культуры населения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</w:t>
            </w:r>
            <w:bookmarkEnd w:id="3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к уровню 2015 года.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385DC7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пос. (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тыс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167FC2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22B9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210,50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FAA4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88559D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156,77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ED3548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C5FBD2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94F4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307C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9EEF02" w14:textId="22D5DA3F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Оснащение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1 культурно-досугового учреждения специальным оборудованием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3E7A9" w14:textId="1F51E8B3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 капитальный ремонт 1 учреждения культуры,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оснащено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3 культурно-досуговых учреждения специальным оборудованием.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1B0042" w14:textId="280701ED" w:rsidR="00365623" w:rsidRPr="00365623" w:rsidRDefault="00E570E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показателя связано с тем, что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2019 год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был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проведено более 200 мероприятий посвящённых юбилею муниципального района, (90 лет со дня образования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»). Кроме того, был получен грант Республики Коми в размере 1 млн. руб. на проведение фестиваля "Завалинка".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DE5B0D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6E9E0B7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AB353E3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CA6059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831D27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A64F4A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E0B870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4742B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D79BB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7E3DA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71139DE" w14:textId="07E7067C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Реализация социально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-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значимых проектов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рамках «Народный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бюджет» в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5C49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32DD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192C8" w14:textId="4DE7D1FC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Реализация не менее 1 социально-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значимых проектов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рамках «Народный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бюджет» 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сфере культуры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8ACB1" w14:textId="574EB2F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Реализован 1 социально-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значимый проект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рамках «Народный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бюджет» 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сфере культуры.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5D85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Увеличение показателя проведенных мероприятий связано с тем, что 2019 год был юбилейным, (90 лет со дня образования муниципального района и администрации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с.п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", а также многих деятелей культуры, уроженцев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района). Был получен грант Республики Коми в размере 1 млн. руб. на проведение фестиваля "Завалинка"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FE8895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A07327B" w14:textId="77777777" w:rsidTr="00330769">
        <w:trPr>
          <w:gridAfter w:val="1"/>
          <w:wAfter w:w="50" w:type="dxa"/>
          <w:trHeight w:val="147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55EAE1D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C4A5C0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детей, осваивающих дополнительные образовательные программы в организациях дополнительного образования, в общем числе детей (4-16 лет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) .</w:t>
            </w:r>
            <w:proofErr w:type="gramEnd"/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BB8B1E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78D205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73F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12,70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09F0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BD1905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19BD17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1BFBD5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мероприятий, посвященных профессиональным, календарным, традиционным, обрядовым, религиозным праздникам, юбилейным датам.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F76C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D087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0A71F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40 творческих мероприятий в 2019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C37F3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Проведено 210 творческих мероприятий с детьми, в том числе с использованием коми языка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4B42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BAF2AB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71AB2B8" w14:textId="77777777" w:rsidTr="00330769">
        <w:trPr>
          <w:gridAfter w:val="1"/>
          <w:wAfter w:w="50" w:type="dxa"/>
          <w:trHeight w:val="126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287DC3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96D7CF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85F71B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09926A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6BE97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E7971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9C8E5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00EA8C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D6CD0A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творческих мероприятий в организациях дополнительного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D56B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5297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4726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40 творческих мероприятий в 2019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6A24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Проведено 210 творческих мероприятий с детьми, в том числе с использованием коми языка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C601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07F84E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4569E80" w14:textId="77777777" w:rsidTr="00330769">
        <w:trPr>
          <w:gridAfter w:val="1"/>
          <w:wAfter w:w="50" w:type="dxa"/>
          <w:trHeight w:val="339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646E8AC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5918A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МО,  от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общей  численности населения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A13966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C7E088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9B00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2007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58908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127,78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4AC4BF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0EB889D" w14:textId="6BF9C067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этнокультурных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мероприятий с использованием коми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4E43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43B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9ED8" w14:textId="2F2E739A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Проведены 330 этнокультурных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мероприятий в МО МР «</w:t>
            </w:r>
            <w:proofErr w:type="spellStart"/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281F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Проведено 360 этнокультурных мероприятий в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17F41" w14:textId="0C5A99F9" w:rsidR="00365623" w:rsidRPr="00365623" w:rsidRDefault="00E570E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показателя связано с тем, что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2019 год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был</w:t>
            </w:r>
            <w: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проведено более 200 мероприятий посвящённых юбилею муниципального района, (90 лет со дня образования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»). Кроме того, был получен грант Республики Коми в размере 1 млн. руб. на проведение фестиваля "Завалинка".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4BBD13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B7B2DAB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A0B54B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BDBD8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Удельный вес населения, систематически занимающегося физической культурой и спортом в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D1BF39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45C35F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8EACA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35D4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69E9DB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E14B04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BA410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Строительство и реконструкция спортивных объектов для муниципальных нужд. Модернизация действующих муниципальных спортивных сооружений. Реализация народных проектов.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D386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8B9B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A0245" w14:textId="12BFE71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Качественное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официальных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физкультурных и спортивных мероприятий в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- проведение не менее 45 официальных муниципальных соревнований.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5C18D" w14:textId="19532EF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проведенных </w:t>
            </w:r>
            <w:r w:rsidR="003F5B88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официальных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физкультурных и спортивных мероприятий в МЛ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- 60 официальных муниципальных соревнований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EDF5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Физкультурно-спортивную работу осуществляют в районе 55 учреждений, с общей численностью занимающихся 4 548 человека, что составляет 20,00%. В отчетном году значение показателя увеличилось на 1,16% по сравнению с 2018 годам (18,84%). В 2020 году планируется продолжить проведение мероприятий по популяризации здорового образа жизни среди населения.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52AF16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97BB797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93D6A2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59DD2B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Уровень обеспеченности населения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спортивными сооружениями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2A912A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B3DE45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DBC9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72,60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9B92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D7149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132,13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E2A7ED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F4FFD3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Строительство и реконструкция спортивных объектов для муниципальных нужд. Модернизация действующих муниципальных спортивных сооружений. Реализация народных проектов.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28A1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85D0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6037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уровня обеспеченности спортивными сооружениями в МОМР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F432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Уровень обеспеченности спортивными сооружениями по итогам 2019 года составляет 95,93%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B424" w14:textId="38DC971E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bookmarkStart w:id="4" w:name="_Hlk42507621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отчетном периоде уровень обеспеченности составил 95,93 % </w:t>
            </w:r>
            <w:bookmarkEnd w:id="4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(106,4 % -2018 г). Уменьшение количества спортивных объектов связанно с проведением их инвентаризации. </w:t>
            </w:r>
            <w:bookmarkStart w:id="5" w:name="_Hlk42507544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проведенной инвентаризации из списков было исключено 12 объектов</w:t>
            </w:r>
            <w:bookmarkEnd w:id="5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. Несмотря на это плановый показатель в 2019 году был достигнут (увеличение на 23,33 %).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94BBC1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27BC699" w14:textId="77777777" w:rsidTr="00330769">
        <w:trPr>
          <w:gridAfter w:val="1"/>
          <w:wAfter w:w="50" w:type="dxa"/>
          <w:trHeight w:val="24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A3EF1A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C9465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39B898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0F82D2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8151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E05D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AB31E4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49DC92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43B0BC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Организация, проведение официальных физкультурно-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оздоровительных  и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спортивных мероприятий для населения, в том числе для  лиц с ограниченными возможностями здоровья.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EA72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E89C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18B3F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Качественное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 официальных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физкультурных и спортивных мероприятий в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- проведение не менее 45 официальных муниципальных соревнований.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D03AA" w14:textId="59924114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проведенных </w:t>
            </w:r>
            <w:r w:rsidR="003F5B88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официальных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физкультурных и спортивных мероприятий в МЛ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 - 60 официальных муниципальных соревнований, в том числе для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граждан с инвалидностью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2710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 xml:space="preserve">В 2019 году увеличилось количество занимающихся по виду спорта "Скандинавская ходьба" в сельских поселениях и на клубных формированиях на базах домов культуры, но все также отсутствуют специализированные спортивные объекты, предназначенные для граждан с инвалидностью. В 2020 году планируется продолжить проведение мероприятий по популяризации здорового образа жизни среди граждан с ограниченными возможностями.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AF7762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D7E4D9E" w14:textId="77777777" w:rsidTr="00330769">
        <w:trPr>
          <w:gridAfter w:val="1"/>
          <w:wAfter w:w="50" w:type="dxa"/>
          <w:trHeight w:val="126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7ECA0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193E5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B797AA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E642E5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2A43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36978" w14:textId="2FC3AF8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2,</w:t>
            </w:r>
            <w:r w:rsidR="003F6BD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3A1C1A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113,24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F8E680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539A35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ярмарок вакансий.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D2A4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C03E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25B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5 ярмарок вакансий.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796F7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ГУ РК «Центр занятости населения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района» проведено 5 ярмарок вакансий.         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5F27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24593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3FB80B8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7495A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09E90D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Численность безработных граждан участвующих в оплачиваемых общественных работах.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E27927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F2BFEC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A327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004E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D5A13A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114,78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3B0A47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AA1548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Трудоустройств незанятого населения, прежде всего, молодежи из числа выпускников образовательных учреждений профессионального образования всех уровней на оплачиваемые общественные работы.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376F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87C2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F155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Трудоустройство не менее 230 чел. безработных граждан на оплачиваемые общественные работы.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2A78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 итогам 2019 года было трудоустроено 264 безработных граждан на оплачиваемые общественные работы.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11E8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A6E493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079B58D2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86067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AB29AD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Численность трудоустроенных в свободное от учебы время несовершеннолетних граждан в возрасте 14-18 лет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0EABF8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8C2C2A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2A9C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362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0B2172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B2E708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FA0E56F" w14:textId="1CD0C1C4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Организация временного трудоустройства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несовершеннолетних граждан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возрасте от 14 до 18 лет в период каникул и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E91B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E54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5D20DE" w14:textId="7698DBCB" w:rsidR="00365623" w:rsidRPr="00365623" w:rsidRDefault="000F6804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Трудоустройство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не менее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250 несовершеннолетних</w:t>
            </w:r>
            <w:r w:rsidR="00365623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граждан на временные работы.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33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2019 году 263 несовершеннолетних гражданина были трудоустроены на временные работы.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7AAE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4F5752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A90B625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AB1E1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8AD71B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ТОСов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на территории района.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0EFE63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E5FFEC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D417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4C4F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85696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237,50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728C82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92EA5D" w14:textId="47B197DA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информационно-консультационных встреч, собраний, "круглых столов", "прямых линий" с гражданами по разъяснению порядка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создания СО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НКО, в т.ч. ТОС.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5D11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3615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ABF8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информационно-консультационных встреч, собраний, "круглых столов", "прямых линий" с гражданами - не менее 3 встреч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2148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 встречи и 1 совещание при участии представителей Ассоциации ТОС Республики Коми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A564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9C0C4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54C041D" w14:textId="77777777" w:rsidTr="00330769">
        <w:trPr>
          <w:gridAfter w:val="1"/>
          <w:wAfter w:w="50" w:type="dxa"/>
          <w:trHeight w:val="22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A890E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9CC5B4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FD7108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A110F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15718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B0598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67469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0BF1B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943B6D1" w14:textId="4E2B94D3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частичное возмещение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затрат на осуществление уставной деятельности общественным некоммерческим организациям.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4D8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F6F6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1DA4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Реализация не менее 1-ого проекта НКО в сфере социальной поддержки.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07692" w14:textId="2CB05448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Реализовано 5 социальных проектов</w:t>
            </w:r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с. </w:t>
            </w:r>
            <w:proofErr w:type="spellStart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Лэзым</w:t>
            </w:r>
            <w:proofErr w:type="spellEnd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Ыб</w:t>
            </w:r>
            <w:proofErr w:type="spellEnd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Пажга</w:t>
            </w:r>
            <w:proofErr w:type="spellEnd"/>
            <w:r w:rsidR="000F6804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, Зеленец.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1742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61240C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66D39FB" w14:textId="77777777" w:rsidTr="00330769">
        <w:trPr>
          <w:gridAfter w:val="1"/>
          <w:wAfter w:w="50" w:type="dxa"/>
          <w:trHeight w:val="145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467CA4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B286A9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Общая смертность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88DA92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на 1000 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D9EFA8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E2A8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2E8F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DA131A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BFB14F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A60D34D" w14:textId="3F98007F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мероприятий (информационных, консультационных, проведения дня открытых дверей) по профилактики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сердечно-сосудистых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заболеваний.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6FCF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72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B514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4-х мероприятий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CFC28" w14:textId="7BD3A996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проведено 4 мероприятия по профилактике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сердечно-сосудистых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заболеваний.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C22F3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F9B5DE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1E51765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5649B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45600B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Заболеваемость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266382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случаев на 100 тыс. 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68541E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3E1FE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5B74E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A9FB4F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114,41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EEC1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183F2D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проведение диспансеризации и вакцинации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74FC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BADC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68A9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Охват диспансеризацией населения- 3000 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50119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течении 2019 года прошли диспансеризацию 4139 человек.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F609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E9441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A8937C4" w14:textId="77777777" w:rsidTr="00330769">
        <w:trPr>
          <w:gridAfter w:val="1"/>
          <w:wAfter w:w="50" w:type="dxa"/>
          <w:trHeight w:val="165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CBF41A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04673D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лиц старшей возрастной группы, участвующих в спортивно-культурных мероприятиях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9D6E69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458B62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FB4D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9F71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EA37B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67CD4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73A20F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спортивных мероприятий с участием граждан пожилого возраста.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E675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01BE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B1A7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 спортивного мероприятия с участием граждан пожилого возраста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37E9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6 спортивных мероприятий с участием граждан пожилого возраста.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DFE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F8E58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119BE0A" w14:textId="77777777" w:rsidTr="00330769">
        <w:trPr>
          <w:trHeight w:val="480"/>
        </w:trPr>
        <w:tc>
          <w:tcPr>
            <w:tcW w:w="31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D2D32FE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  <w:t>3. Развитие системы муниципального управления</w:t>
            </w:r>
          </w:p>
        </w:tc>
        <w:tc>
          <w:tcPr>
            <w:tcW w:w="1296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A0A1D7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375FAF84" w14:textId="77777777" w:rsidTr="00330769">
        <w:trPr>
          <w:gridAfter w:val="1"/>
          <w:wAfter w:w="50" w:type="dxa"/>
          <w:trHeight w:val="3000"/>
        </w:trPr>
        <w:tc>
          <w:tcPr>
            <w:tcW w:w="11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39C74FA" w14:textId="77777777" w:rsidR="00365623" w:rsidRPr="00365623" w:rsidRDefault="00365623" w:rsidP="003656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3.1 Повышение социальной и экономической эффективности и качества управления совокупностью ресурсов муниципального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407184" w14:textId="26D7B60F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специалистов, пошедших профессиональную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подготовку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,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переподготовку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и повышения квалификации в отчетном периоде за счет средств местного бюджета, от общей численности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специалистов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74F8E8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21A8B2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9626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362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5CB176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B4D364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C27877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направление на обучение специалистов, в том числе с применением дистанционных и модульных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073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F174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BDD4C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 менее 20 специалистов, прошедших программы профессиональной переподготовки и повышения квалификации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83D5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13 специалистов прошли программу профессиональной переподготовки и повышения квалификации.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6203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Невыполнение показателя связано с увеличением стоимости обучения при прежнем финансировании мероприятия.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8BF20F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30BE1C75" w14:textId="77777777" w:rsidTr="00330769">
        <w:trPr>
          <w:gridAfter w:val="1"/>
          <w:wAfter w:w="50" w:type="dxa"/>
          <w:trHeight w:val="261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DD3F5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ED46F2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6BA31E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19E81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E9FE3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7C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E241D6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A897F7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7ECD4A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аттестации специалистов администрации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6AFE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73BA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7991B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100%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53D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100% муниципальных служащих из числа подлежащих аттестации прошли её.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B975A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6E3EB1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49F03D1" w14:textId="77777777" w:rsidTr="00330769">
        <w:trPr>
          <w:gridAfter w:val="1"/>
          <w:wAfter w:w="50" w:type="dxa"/>
          <w:trHeight w:val="280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568535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A40E7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Отношение дефицита местного бюджета к доходам бюджета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 без учета объема безвозмездных поступлений и (или) поступлений налоговых доходов по дополнительным нормативам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6FAD14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F3C8AA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0296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0E3E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F14EBF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AC452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BE5E9C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Определение основных направлений бюджетной и налоговой политики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5128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4FCE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7937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Наличие утвержденного НПА об основных направлениях бюджетной и налоговой политики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- 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71431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Утверждено постановление АМО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от 17.10.2018 года № 10/925 "Об основных направлениях бюджетной политики и налоговой политики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на 2019 год и плановый период 2020 и 2021 годов"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8147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CA6C34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FC57ECD" w14:textId="77777777" w:rsidTr="00330769">
        <w:trPr>
          <w:gridAfter w:val="1"/>
          <w:wAfter w:w="50" w:type="dxa"/>
          <w:trHeight w:val="358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622E3D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8948E4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62456B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B1FD1D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C329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0181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A49231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2D30E8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5E22D3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Организация и обеспечение исполнения бюджета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", ведение бюджетного учета, формирование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E33D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8495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1DD2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- 0%.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DFF8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Просроченная кредиторская задолженность по оплате труда (включая начисления на оплату труда) муниципальных учреждений по состоянию на 01.01.2020 года отсутствует.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FC5A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8DECE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399E2BD" w14:textId="77777777" w:rsidTr="00330769">
        <w:trPr>
          <w:gridAfter w:val="1"/>
          <w:wAfter w:w="50" w:type="dxa"/>
          <w:trHeight w:val="106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9E8378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A267C52" w14:textId="363FB7FD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bookmarkStart w:id="6" w:name="_Hlk42509327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Объем налоговых и не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неналоговых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доходов в бюджет муниципального района</w:t>
            </w:r>
            <w:bookmarkEnd w:id="6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7C149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2E53D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37CC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230,60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5D8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1B143E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190,29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87EFD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208873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мероприятий (круглых столов, совещаний и т.п.) по увеличению налоговых и не налоговых поступлений в бюджет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7EB6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D83A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0EDA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 мероприятия в месяц.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9BF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12 мероприятий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DA98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08D30E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3758403E" w14:textId="77777777" w:rsidTr="00330769">
        <w:trPr>
          <w:gridAfter w:val="1"/>
          <w:wAfter w:w="50" w:type="dxa"/>
          <w:trHeight w:val="280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9C37D0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116078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52B54C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61345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278E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3FF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1FACC7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114,14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D83110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8320A6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мероприятий (круглых столов, совещаний и т.п.) по увеличению налоговых и не налоговых поступлений в бюджет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69DE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3E05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2190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1 мероприятия в месяц.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75E4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12 мероприятий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9058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6F7467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2A65B27" w14:textId="77777777" w:rsidTr="00330769">
        <w:trPr>
          <w:gridAfter w:val="1"/>
          <w:wAfter w:w="50" w:type="dxa"/>
          <w:trHeight w:val="378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A556A6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FA0D2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недвижимости. Находящихся в реестре муниципального имущества муниципального района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7D650E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3EA844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E2B51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A573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01091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7C57F1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EAA15E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сплошной, ежегодной инвентаризации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7631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11BD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68AE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удельного веса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до 31,5%.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AD04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по итогам 2019 года составил 31,5%.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4F4E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7A43C3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8D97387" w14:textId="77777777" w:rsidTr="00330769">
        <w:trPr>
          <w:gridAfter w:val="1"/>
          <w:wAfter w:w="50" w:type="dxa"/>
          <w:trHeight w:val="261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03B850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0C2CA6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Количества земельных участков, относящихся к муниципальной собственности муниципального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райьна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", по которому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полученны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кадастровые паспорта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BDB962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21B391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B188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8CAB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CA56F8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103,64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1B4457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DAB62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Организация и проведение кадастровых работ для обеспечения кадастровыми паспортами земельных участков, находящихся в муниципальной собственности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A1B9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50E5D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D4FB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количества земельных участков, относящихся к муниципальной собственности муниципального района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», по которым получены кадастровые паспорта до 55 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87ED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2019 году на 57 земельных участков, относящихся к муниципальной собственности муниципального района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получены кадастровые паспорта.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6EA0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82BF16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0EE7D43B" w14:textId="77777777" w:rsidTr="00330769">
        <w:trPr>
          <w:gridAfter w:val="1"/>
          <w:wAfter w:w="50" w:type="dxa"/>
          <w:trHeight w:val="319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932043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ED7B93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учреждений МО, обеспеченных доступом к сети "Интернет" от общего числа подключенных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4E8948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995A41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55CB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18E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25EF46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D35D9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AB9ACC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работ по модернизации рабочих мест специалистов администрации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6B0C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2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BA22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Замена устаревшей компьютерной техники на новую. Приобретение не менее 5-ти компьютеров в 2019 году. Сохранение доли рабочих мест сотрудников в органах власти, учреждениях и организациях муниципального образования, оснащённых современными компьютерами на уровне 50 %.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8147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Администрацией района в 2019 году было приобретено и установлено 12 компьютера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0728A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количества приобретенного оборудования от запланированного на 2019 год связано с увеличением объёмов выделяемых финансовых средств.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CB034D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FA828CF" w14:textId="77777777" w:rsidTr="00330769">
        <w:trPr>
          <w:gridAfter w:val="1"/>
          <w:wAfter w:w="50" w:type="dxa"/>
          <w:trHeight w:val="339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C590DB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C530EF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рабочих мест сотрудников в органах власти, учреждениях и организациях муниципального образования, оснащённых современными компьютерами, а также подключенных к единой сети передачи данных от общего количества рабочих мест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97187F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37A336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3998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52A4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C63D10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C565D8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4E93D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работ по модернизации рабочих мест специалистов администрации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AF8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6DF15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098A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Замена устаревшей компьютерной техники на новую. Приобретение не менее 5-ти компьютеров в 2019 году. Сохранение доли рабочих мест сотрудников в органах власти, учреждениях и организациях муниципального образования, оснащённых современными компьютерами на уровне 50 %.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E31A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Администрацией района в 2019 году было приобретено и установлено 12 компьютера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1FB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Увеличение доли рабочих мест сотрудников в органах власти, учреждениях и организациях муниципального образования, оснащённых современными компьютерами, а также подключенных к единой сети передачи данных от общего количества рабочих мест связано с увеличением в 2019 году объёмов выделяемых финансовых средств на обновление оргтехники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A259A9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B4AB5FF" w14:textId="77777777" w:rsidTr="00330769">
        <w:trPr>
          <w:gridAfter w:val="1"/>
          <w:wAfter w:w="50" w:type="dxa"/>
          <w:trHeight w:val="51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326F81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6EC8DB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проектов нормативно правовых актов муниципального образования муниципального района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". Прошедших антикоррупционную экспертизу в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отчетномгоду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, от общего количества проектов нормативных правовых актов муниципального образования муниципального района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", подлежащих антикоррупционной экспертизы в отчетном году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C04936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69675B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E848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039B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1D209C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CCEB6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D6FDAC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8267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92D0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03D8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100% проектов нормативно правовых актов муниципального образования муниципального района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прошедших антикоррупционную экспертизу в отчетном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6414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100% проектов нормативно правовых актов МО МР "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" прошли антикоррупционную экспертизу.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3590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35BFEC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F3E4878" w14:textId="77777777" w:rsidTr="00330769">
        <w:trPr>
          <w:gridAfter w:val="1"/>
          <w:wAfter w:w="50" w:type="dxa"/>
          <w:trHeight w:val="300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34C20A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F04E1A2" w14:textId="7A57F611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Доля устраненных коррупционных факторов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муниципальные правовые акты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(проектов), прошедших антикоррупционную экспертизу в отчетном году. От общего числа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выявленных коррупционных факторов в отчетном году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950E23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F02193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E1B4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9A44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8E0DD3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593462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DF6D801" w14:textId="3745BFB4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работ по внесению </w:t>
            </w:r>
            <w:r w:rsidR="00330769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изменений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в муниципальные правовые акты, для устранение коррупционных фактов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95AA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8A78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F58C8" w14:textId="3074A002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Сохранение доли устраненных коррупционных факторов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муниципальные правовые акты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(проектов), прошедших антикоррупционную экспертизу в отчетном году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на уровне 100%.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DC4B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 xml:space="preserve">Доля устраненных коррупционных факторов в муниципальных правовых актах (проектов), прошедших антикоррупционную экспертизу в 2019 году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составила 100%.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0E5C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31B740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7542AB0C" w14:textId="77777777" w:rsidTr="00330769">
        <w:trPr>
          <w:trHeight w:val="480"/>
        </w:trPr>
        <w:tc>
          <w:tcPr>
            <w:tcW w:w="31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36EF1F9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b/>
                <w:bCs/>
                <w:color w:val="505050"/>
                <w:sz w:val="16"/>
                <w:szCs w:val="16"/>
                <w:lang w:eastAsia="ru-RU"/>
              </w:rPr>
              <w:t>4. Обеспечение безопасности жизнедеятельности населения</w:t>
            </w:r>
          </w:p>
        </w:tc>
        <w:tc>
          <w:tcPr>
            <w:tcW w:w="1296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245A7C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1C2BDC0" w14:textId="77777777" w:rsidTr="00330769">
        <w:trPr>
          <w:gridAfter w:val="1"/>
          <w:wAfter w:w="50" w:type="dxa"/>
          <w:trHeight w:val="2040"/>
        </w:trPr>
        <w:tc>
          <w:tcPr>
            <w:tcW w:w="11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A8F442" w14:textId="77777777" w:rsidR="00365623" w:rsidRPr="00365623" w:rsidRDefault="00365623" w:rsidP="003656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  <w:t>4.1 Обеспечение комплексной безопасности населения и объектов на территории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1AF361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пожаров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9B9AC2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30D16D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18D4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56A2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AC55A9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67,69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03039B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НЕВЫП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5227DB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мероприятий по профилактики пожарной безопасности (размещение информации, проведение осмотров, проведение проверок, заседаний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EA33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8298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D205E" w14:textId="01C8D070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Проведено не менее 200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мероприятий,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направленных на профилактику пожарной безопасности.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F7C3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2019 году проведено 273 мероприятия направленных на профилактику пожарной безопасности, населению вручено 1300 памяток по пожарной безопасности.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CD0B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Значительное увеличение количества пожаров в 2019 году связано с изменением методики расчета. В 2019 году в категорию «пожары» стали включать возгорание, которые до этого были отдельной категорией.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630308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DD56EE2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F6619E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50BAF5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Количество, приведенных в нормативное состояние объектов размещения отходов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C522DE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7B8424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D3503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957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460829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57E571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E0A3D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Проведение организационных мероприятий по заключению муниципальных контрактов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353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485D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EAE2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Заключение не менее 1-ого муниципального контракта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B87A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 xml:space="preserve">Муниципальный контракт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в 2019 году 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>не заключался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CCB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отсутствуют объекты размещения отходов.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A9D410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9BE49CC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0BA1CE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94B1D2C" w14:textId="0679C8DE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ликвидированных и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</w:t>
            </w:r>
            <w:r w:rsidR="000F6804"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рекультивированный</w:t>
            </w: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1AB09C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9A4288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3DD8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70C2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4AA8BF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DC83B0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58C58A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Проведение организационных мероприятий по заключению муниципальных контрактов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1B67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32BFB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09A7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Заключение не менее 1-ого муниципального контракта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33F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Муниципальный контракт на выполнение работ по ликвидации несанкционированных свалок с территории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Сыктывдинского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района в 2019 году не заключался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70BD8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УЖКХ 4 раза объявлялся аукцион на ликвидацию несанкционированных свалок. Все аукционы признаны несостоявшимися.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6230D3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2716F43" w14:textId="77777777" w:rsidTr="00330769">
        <w:trPr>
          <w:gridAfter w:val="1"/>
          <w:wAfter w:w="50" w:type="dxa"/>
          <w:trHeight w:val="126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220302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7DA2CC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созданных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систем  по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 раздельному  сбору отходов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7F4D25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635493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68A0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9766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7B0E532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855B8C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B9FAA9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совещаний, рабочих встреч с главами сельских поселений и управляющими организациями по вопросу организации работ по раздельному сбору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A1C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AFBE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9D2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3 совещаний, рабочих встреч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21C9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4 совещания по вопросу организации работ по раздельному сбору отходов.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06A42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Создано 14 систем раздельного накопления твердых коммунальных отходов. Значительное увеличение показателя связано с увеличением финансирования мероприятий направленных на организацию работ по раздельному сбору мусора.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5993AC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739E739" w14:textId="77777777" w:rsidTr="00330769">
        <w:trPr>
          <w:gridAfter w:val="1"/>
          <w:wAfter w:w="50" w:type="dxa"/>
          <w:trHeight w:val="126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C63E4C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450C51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лиц, погибших в результате дорожно-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транспортных  происшествий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9A621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56402C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CAC94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9A6B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9D1A6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182,35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0B11E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8B98F2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заседаний комиссий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5774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E9E4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B442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4 заседаний комиссии по безопасности дорожного движения.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E8F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Проведено 4 заседания комиссии по безопасности дорожного движения.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2A43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D63C2E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4E26589" w14:textId="77777777" w:rsidTr="00330769">
        <w:trPr>
          <w:gridAfter w:val="1"/>
          <w:wAfter w:w="50" w:type="dxa"/>
          <w:trHeight w:val="300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6854F0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48F763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дорожно</w:t>
            </w:r>
            <w:proofErr w:type="spellEnd"/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- транспортных происшествий  с пострадавшими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EB725E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336B7E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B268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3AE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336983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126,87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0794A2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81F409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профилактических мероприятий "Нетрезвый водитель", профилактических мероприятий по соблюдению участниками дорожного движения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CD88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CE21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AFEE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2-х мероприятий в месяц.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964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В рамках проведения профилактических мероприятий по соблюдению участниками дорожного движения правил дорожного движения отделением ГИБДД отдела МВД России по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Сыктывдинскому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району в 2019 году проведено 37 профилактических мероприятий "Нетрезвый водитель".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EB14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534C7D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D5DE6F5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5DEC9F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A4B5DE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Количество детей, погибших 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 результате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дорожно-транспортных происшествий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85E9EC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0FEA1D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BBF9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3DD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9150B3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75D400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F6F66E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профилактических бесед в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660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2921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ACEF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3-х профилактических бесед в школах.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2176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Отделением ГИБДД отдела МВД России по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Сыктывдинскому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району в 2019 году проведено 4 профилактические беседы в школах муниципального района.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9473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EFE505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6110FFF2" w14:textId="77777777" w:rsidTr="00330769">
        <w:trPr>
          <w:gridAfter w:val="1"/>
          <w:wAfter w:w="50" w:type="dxa"/>
          <w:trHeight w:val="2430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7249C7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852C0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F73FD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581A01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EA738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5FC43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F80DB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33BA4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57D9BC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Участие в республиканских соревнованиях юных инспекторов дорожного движения «Безопасное колесо»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CE937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F21C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3C05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Приняла участие 1 команда в республиканском этапе конкурса-соревнования юных инспекторов дорожного движения «Безопасное колесо» в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г.Сыктывкаре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77F5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одна команда приняла участие в республиканском этапе конкурса-соревнования юных инспекторов дорожного движения «Безопасное колесо». По итогам конкурса команда МО МР «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» заняла 1 место.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DC28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0FC107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271A2CF1" w14:textId="77777777" w:rsidTr="00330769">
        <w:trPr>
          <w:gridAfter w:val="1"/>
          <w:wAfter w:w="50" w:type="dxa"/>
          <w:trHeight w:val="106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37C8C5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1E1B69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0E6FE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E8965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DC46C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93D22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F0F84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72AAA3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D093B67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Проведение профилактических мероприятий "</w:t>
            </w:r>
            <w:proofErr w:type="gram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Авто кресло</w:t>
            </w:r>
            <w:proofErr w:type="gram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8D8EE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6D55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32AE5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2-х мероприятий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1673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Проведено 2 мероприятия направленных на профилактику соблюдения ПДД. 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067A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AD5CCA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42DFE6E2" w14:textId="77777777" w:rsidTr="00330769">
        <w:trPr>
          <w:gridAfter w:val="1"/>
          <w:wAfter w:w="50" w:type="dxa"/>
          <w:trHeight w:val="493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3AEB99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96D227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ACF75C4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53E5877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AC0F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791,00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98A5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BDBFCF3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183C09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680DB5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рейдовых мероприятий по профилактики преступлений 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B7B0F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CE23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F23C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не менее 3-х рейдовых мероприятий по профилактики преступлений и правонарушений в 2019 году.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D8F2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3 рейдовых мероприятия по профилактики преступлений и правонарушений.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95B3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2019 году проделана следующая работа: • установлена 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доустановлена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система видеонаблюдения, обеспечивающая   непрерывное видеонаблюдение, архивирование и хранение данных в течении 1 месяца в 4 объектах; • установлена система экстренного оповещения о потенциальной угрозе возникновения или возникновении ЧС в 25 объектах; • установлены турникеты в 7 объектах;  • установлена охранная сигнализация на 1 объекте; • установлена система тревожной сигнализации КВЭП на 13 объектах; • установлена система наружного охранного освещения на 2-х объектах;  • установлено ограждение территорий на 2 объектах. В результате проведённых профилактических мероприятиях, проводимых администрацией района совместно с надзорными органами республики, позволило сохранить количество правонарушений на уровне 2018 года. На 2020 год будет продолжена работа в данном направлении, планируется: • установить 2 видеокамеры в сельском поселении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; • оснастить системой видеонаблюдения спортивные объекты в сельских поселениях </w:t>
            </w:r>
            <w:proofErr w:type="spellStart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Выльгорт</w:t>
            </w:r>
            <w:proofErr w:type="spellEnd"/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 xml:space="preserve"> и Зеленец.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4CAEE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592F45E6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A940B3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23C946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D6FC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E4F31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4F7BA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4665AB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B721F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99F008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3E54324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оперативно-профилактических мероприятий с ранее судимыми гражданами по недопущению повторного совершения преступлений "Надзор"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DAA25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5472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66FDE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оперативно-профилактических мероприятий 1 раз в квартал.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E57F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5 оперативно-профилактических мероприятий с гражданами, ранее судимыми по недопущению повторного совершения преступлений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0662F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74DCE44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  <w:tr w:rsidR="00365623" w:rsidRPr="00365623" w14:paraId="1568E157" w14:textId="77777777" w:rsidTr="00330769">
        <w:trPr>
          <w:gridAfter w:val="1"/>
          <w:wAfter w:w="50" w:type="dxa"/>
          <w:trHeight w:val="1845"/>
        </w:trPr>
        <w:tc>
          <w:tcPr>
            <w:tcW w:w="11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996000" w14:textId="77777777" w:rsidR="00365623" w:rsidRPr="00365623" w:rsidRDefault="00365623" w:rsidP="00365623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68049280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Доля граждан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127522AD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32C00916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95A5A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BDB81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0FA0AF2B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26CCD27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ВЫП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4307246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информационно-разъяснительная деятельность по профилактике экстремизма,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CC8C8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510" w14:textId="77777777" w:rsidR="00365623" w:rsidRPr="00365623" w:rsidRDefault="00365623" w:rsidP="0036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510CC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Проведение информационно-разъяснительных мероприятий 1 раз в квартал.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230DD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В 2019 году проведено 9 информационно-разъяснительных мероприятия.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93E18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hideMark/>
          </w:tcPr>
          <w:p w14:paraId="2B5FCDDA" w14:textId="77777777" w:rsidR="00365623" w:rsidRPr="00365623" w:rsidRDefault="00365623" w:rsidP="00365623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</w:pPr>
            <w:r w:rsidRPr="00365623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ru-RU"/>
              </w:rPr>
              <w:t> </w:t>
            </w:r>
          </w:p>
        </w:tc>
      </w:tr>
    </w:tbl>
    <w:p w14:paraId="7AFEE921" w14:textId="5F52C21D" w:rsidR="00153F49" w:rsidRPr="00751DBA" w:rsidRDefault="00153F49" w:rsidP="00153F49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53F4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14:paraId="7BCB32C1" w14:textId="362B0B72" w:rsidR="0066490F" w:rsidRPr="00751DBA" w:rsidRDefault="0066490F" w:rsidP="0066490F">
      <w:pPr>
        <w:rPr>
          <w:rFonts w:ascii="Times New Roman" w:hAnsi="Times New Roman" w:cs="Times New Roman"/>
          <w:sz w:val="24"/>
          <w:szCs w:val="24"/>
        </w:rPr>
      </w:pPr>
    </w:p>
    <w:sectPr w:rsidR="0066490F" w:rsidRPr="00751DBA" w:rsidSect="00330769">
      <w:pgSz w:w="16838" w:h="11906" w:orient="landscape" w:code="9"/>
      <w:pgMar w:top="170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BA5"/>
    <w:multiLevelType w:val="hybridMultilevel"/>
    <w:tmpl w:val="7D7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0F"/>
    <w:rsid w:val="000C579C"/>
    <w:rsid w:val="000F6804"/>
    <w:rsid w:val="00153F49"/>
    <w:rsid w:val="00330769"/>
    <w:rsid w:val="00365623"/>
    <w:rsid w:val="003F5B88"/>
    <w:rsid w:val="003F6BD0"/>
    <w:rsid w:val="00453E84"/>
    <w:rsid w:val="0066490F"/>
    <w:rsid w:val="007177CA"/>
    <w:rsid w:val="00751DBA"/>
    <w:rsid w:val="00A00A94"/>
    <w:rsid w:val="00AA2AC1"/>
    <w:rsid w:val="00CB4089"/>
    <w:rsid w:val="00CF7E35"/>
    <w:rsid w:val="00D76159"/>
    <w:rsid w:val="00E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48A"/>
  <w15:chartTrackingRefBased/>
  <w15:docId w15:val="{E4A53A6F-2120-4589-85C6-A8CA8B0D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30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8</cp:revision>
  <cp:lastPrinted>2020-06-08T11:09:00Z</cp:lastPrinted>
  <dcterms:created xsi:type="dcterms:W3CDTF">2020-06-04T08:36:00Z</dcterms:created>
  <dcterms:modified xsi:type="dcterms:W3CDTF">2020-06-08T11:10:00Z</dcterms:modified>
</cp:coreProperties>
</file>