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4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E546EE">
        <w:rPr>
          <w:rFonts w:ascii="Times New Roman" w:hAnsi="Times New Roman" w:cs="Times New Roman"/>
          <w:iCs/>
          <w:sz w:val="24"/>
          <w:szCs w:val="24"/>
        </w:rPr>
        <w:t>6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E74461">
        <w:rPr>
          <w:rFonts w:ascii="Times New Roman" w:hAnsi="Times New Roman" w:cs="Times New Roman"/>
          <w:iCs/>
          <w:sz w:val="24"/>
          <w:szCs w:val="24"/>
        </w:rPr>
        <w:t>2</w:t>
      </w:r>
      <w:r w:rsidR="00CC2480">
        <w:rPr>
          <w:rFonts w:ascii="Times New Roman" w:hAnsi="Times New Roman" w:cs="Times New Roman"/>
          <w:iCs/>
          <w:sz w:val="24"/>
          <w:szCs w:val="24"/>
        </w:rPr>
        <w:t xml:space="preserve"> квартал 2016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416FA2">
        <w:rPr>
          <w:rFonts w:ascii="Times New Roman" w:hAnsi="Times New Roman" w:cs="Times New Roman"/>
          <w:iCs/>
          <w:sz w:val="24"/>
          <w:szCs w:val="24"/>
        </w:rPr>
        <w:t>296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257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4461">
        <w:rPr>
          <w:rFonts w:ascii="Times New Roman" w:hAnsi="Times New Roman" w:cs="Times New Roman"/>
          <w:iCs/>
          <w:sz w:val="24"/>
          <w:szCs w:val="24"/>
        </w:rPr>
        <w:t>39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416FA2">
        <w:rPr>
          <w:rFonts w:ascii="Times New Roman" w:hAnsi="Times New Roman" w:cs="Times New Roman"/>
          <w:iCs/>
          <w:sz w:val="24"/>
          <w:szCs w:val="24"/>
        </w:rPr>
        <w:t>2</w:t>
      </w:r>
      <w:r w:rsidR="008606FD">
        <w:rPr>
          <w:rFonts w:ascii="Times New Roman" w:hAnsi="Times New Roman" w:cs="Times New Roman"/>
          <w:iCs/>
          <w:sz w:val="24"/>
          <w:szCs w:val="24"/>
        </w:rPr>
        <w:t>3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19</w:t>
      </w:r>
      <w:r w:rsidR="00CE0A9F">
        <w:rPr>
          <w:rFonts w:ascii="Times New Roman" w:hAnsi="Times New Roman" w:cs="Times New Roman"/>
          <w:iCs/>
          <w:sz w:val="24"/>
          <w:szCs w:val="24"/>
        </w:rPr>
        <w:t>0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416FA2">
        <w:rPr>
          <w:rFonts w:ascii="Times New Roman" w:hAnsi="Times New Roman" w:cs="Times New Roman"/>
          <w:iCs/>
          <w:sz w:val="24"/>
          <w:szCs w:val="24"/>
        </w:rPr>
        <w:t>106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т.ч.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>– 44;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>го хозяйства Республики Коми - 16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P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AE5DEF">
        <w:rPr>
          <w:rFonts w:ascii="Times New Roman" w:hAnsi="Times New Roman" w:cs="Times New Roman"/>
          <w:iCs/>
          <w:sz w:val="24"/>
          <w:szCs w:val="24"/>
        </w:rPr>
        <w:t>9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МО ГО «Сыктывкар» - 4;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 xml:space="preserve">Министерство Республики Коми имущественных и земельных отношений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4;</w:t>
      </w:r>
    </w:p>
    <w:p w:rsidR="00C66E0B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Администрац</w:t>
      </w:r>
      <w:r>
        <w:rPr>
          <w:rFonts w:ascii="Times New Roman" w:hAnsi="Times New Roman" w:cs="Times New Roman"/>
          <w:iCs/>
          <w:sz w:val="24"/>
          <w:szCs w:val="24"/>
        </w:rPr>
        <w:t>ия сельского поселения «Зеленец</w:t>
      </w:r>
      <w:r w:rsidRPr="00AE5DEF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3</w:t>
      </w:r>
      <w:r w:rsid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Министерство</w:t>
      </w:r>
      <w:r w:rsidRPr="00AE5DEF">
        <w:rPr>
          <w:rFonts w:ascii="Times New Roman" w:hAnsi="Times New Roman" w:cs="Times New Roman"/>
          <w:iCs/>
          <w:sz w:val="24"/>
          <w:szCs w:val="24"/>
        </w:rPr>
        <w:t xml:space="preserve"> образования, науки и молодежной политики Республики Коми </w:t>
      </w:r>
      <w:r w:rsidR="00143AF0" w:rsidRPr="00BF484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66E0B">
        <w:rPr>
          <w:rFonts w:ascii="Times New Roman" w:hAnsi="Times New Roman" w:cs="Times New Roman"/>
          <w:iCs/>
          <w:sz w:val="24"/>
          <w:szCs w:val="24"/>
        </w:rPr>
        <w:t>2</w:t>
      </w:r>
      <w:r w:rsidR="008F2187"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AE5DEF" w:rsidRDefault="00AE5DEF" w:rsidP="00AE5D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природных ресурсов и охраны окружающей среды Республики Коми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2;</w:t>
      </w:r>
    </w:p>
    <w:p w:rsidR="00DB71A5" w:rsidRP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AE5DEF">
        <w:rPr>
          <w:rFonts w:ascii="Times New Roman" w:hAnsi="Times New Roman" w:cs="Times New Roman"/>
          <w:iCs/>
          <w:sz w:val="24"/>
          <w:szCs w:val="24"/>
        </w:rPr>
        <w:t>22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AE5DEF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577840" cy="4533900"/>
            <wp:effectExtent l="0" t="0" r="2286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lastRenderedPageBreak/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образования;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426"/>
        <w:contextualSpacing/>
        <w:jc w:val="center"/>
      </w:pPr>
      <w:r w:rsidRPr="007552DB">
        <w:rPr>
          <w:noProof/>
          <w:lang w:eastAsia="ru-RU"/>
        </w:rPr>
        <w:drawing>
          <wp:inline distT="0" distB="0" distL="0" distR="0">
            <wp:extent cx="5991225" cy="4724400"/>
            <wp:effectExtent l="19050" t="0" r="9525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F68" w:rsidRDefault="001302C7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  <w:r w:rsidR="007552DB" w:rsidRPr="007552DB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724525" cy="420052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2DB" w:rsidRDefault="007552DB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E66495" w:rsidRDefault="002474AE" w:rsidP="002474AE">
      <w:pPr>
        <w:ind w:right="-285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74AE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646420" cy="3160395"/>
            <wp:effectExtent l="19050" t="0" r="11430" b="1905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2C7" w:rsidRDefault="001302C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7DA9" w:rsidRDefault="00887DA9" w:rsidP="00887DA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1302C7" w:rsidRDefault="00887DA9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DA9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3133725"/>
            <wp:effectExtent l="19050" t="0" r="1905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6C8A" w:rsidRDefault="003B6C8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5C5080" w:rsidRDefault="00977028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7028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3133725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«Палевицы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1302C7" w:rsidRDefault="003B6C8A" w:rsidP="003B6C8A">
      <w:pPr>
        <w:ind w:right="-285" w:firstLine="14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6C8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FF61A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1AE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61AE" w:rsidRDefault="00FF61A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FB49C2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FB49C2" w:rsidRDefault="00FB49C2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9C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704CD" w:rsidRDefault="003704CD" w:rsidP="003704CD">
      <w:pPr>
        <w:ind w:left="1560" w:right="-285" w:firstLine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04C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9C2" w:rsidRDefault="00FB49C2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04CD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 w:rsidR="00A42059">
        <w:rPr>
          <w:rFonts w:ascii="Times New Roman" w:hAnsi="Times New Roman" w:cs="Times New Roman"/>
          <w:iCs/>
          <w:sz w:val="24"/>
          <w:szCs w:val="24"/>
        </w:rPr>
        <w:t>Часово</w:t>
      </w:r>
      <w:r w:rsidR="00A42059"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704CD" w:rsidRDefault="003704CD" w:rsidP="00613DF7">
      <w:pPr>
        <w:tabs>
          <w:tab w:val="left" w:pos="1843"/>
        </w:tabs>
        <w:ind w:left="1560" w:right="-285" w:hanging="1843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613DF7" w:rsidRPr="00613DF7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285C" w:rsidRDefault="002B285C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85C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A42059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85C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2892" w:rsidRDefault="00E32892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677BCC" w:rsidRDefault="00C6384C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84C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Всего дано 334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1 автору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отказано; 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>227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>е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468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D80DD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6324"/>
    <w:rsid w:val="000B37A3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B3DE5"/>
    <w:rsid w:val="001B706E"/>
    <w:rsid w:val="001D7F40"/>
    <w:rsid w:val="001F0D1B"/>
    <w:rsid w:val="00203A29"/>
    <w:rsid w:val="002110A2"/>
    <w:rsid w:val="002132A1"/>
    <w:rsid w:val="00236C33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1979"/>
    <w:rsid w:val="002F3D07"/>
    <w:rsid w:val="00303BCE"/>
    <w:rsid w:val="003238B9"/>
    <w:rsid w:val="00323D98"/>
    <w:rsid w:val="003528EB"/>
    <w:rsid w:val="00355C82"/>
    <w:rsid w:val="003704CD"/>
    <w:rsid w:val="00370EBE"/>
    <w:rsid w:val="00380CC2"/>
    <w:rsid w:val="003A7635"/>
    <w:rsid w:val="003B09B3"/>
    <w:rsid w:val="003B6C8A"/>
    <w:rsid w:val="003C5C7D"/>
    <w:rsid w:val="003F6F2A"/>
    <w:rsid w:val="00413086"/>
    <w:rsid w:val="00414C38"/>
    <w:rsid w:val="00416FA2"/>
    <w:rsid w:val="00427089"/>
    <w:rsid w:val="004319B0"/>
    <w:rsid w:val="00444A50"/>
    <w:rsid w:val="00447A98"/>
    <w:rsid w:val="0045099D"/>
    <w:rsid w:val="00470344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2823"/>
    <w:rsid w:val="00613DF7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5338"/>
    <w:rsid w:val="0074630B"/>
    <w:rsid w:val="007552DB"/>
    <w:rsid w:val="00772103"/>
    <w:rsid w:val="007739D0"/>
    <w:rsid w:val="0077725A"/>
    <w:rsid w:val="00781718"/>
    <w:rsid w:val="007821D7"/>
    <w:rsid w:val="007A05C0"/>
    <w:rsid w:val="007A2679"/>
    <w:rsid w:val="007B1D49"/>
    <w:rsid w:val="007C4585"/>
    <w:rsid w:val="007C5688"/>
    <w:rsid w:val="008060FB"/>
    <w:rsid w:val="0081408A"/>
    <w:rsid w:val="0081599B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FFF"/>
    <w:rsid w:val="00905955"/>
    <w:rsid w:val="00915ECE"/>
    <w:rsid w:val="00944F68"/>
    <w:rsid w:val="0097109F"/>
    <w:rsid w:val="00977028"/>
    <w:rsid w:val="009A08E1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73D8"/>
    <w:rsid w:val="00A53E11"/>
    <w:rsid w:val="00A63A41"/>
    <w:rsid w:val="00A7609D"/>
    <w:rsid w:val="00A8013A"/>
    <w:rsid w:val="00A81D59"/>
    <w:rsid w:val="00A823D5"/>
    <w:rsid w:val="00A936B0"/>
    <w:rsid w:val="00AA1BEE"/>
    <w:rsid w:val="00AA3D9C"/>
    <w:rsid w:val="00AA4DF6"/>
    <w:rsid w:val="00AB1AD1"/>
    <w:rsid w:val="00AB4B56"/>
    <w:rsid w:val="00AB74D5"/>
    <w:rsid w:val="00AC4F54"/>
    <w:rsid w:val="00AE0B53"/>
    <w:rsid w:val="00AE5DEF"/>
    <w:rsid w:val="00AE6FDF"/>
    <w:rsid w:val="00AF672B"/>
    <w:rsid w:val="00B038B2"/>
    <w:rsid w:val="00B06A39"/>
    <w:rsid w:val="00B07456"/>
    <w:rsid w:val="00B1428A"/>
    <w:rsid w:val="00B37312"/>
    <w:rsid w:val="00B55213"/>
    <w:rsid w:val="00B63EBB"/>
    <w:rsid w:val="00B77D09"/>
    <w:rsid w:val="00B8392A"/>
    <w:rsid w:val="00B87BA6"/>
    <w:rsid w:val="00B92E80"/>
    <w:rsid w:val="00BB37FE"/>
    <w:rsid w:val="00BB398D"/>
    <w:rsid w:val="00BB7F2A"/>
    <w:rsid w:val="00BD046C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7331"/>
    <w:rsid w:val="00C93CF9"/>
    <w:rsid w:val="00CA7329"/>
    <w:rsid w:val="00CB6670"/>
    <w:rsid w:val="00CC2480"/>
    <w:rsid w:val="00CD4F39"/>
    <w:rsid w:val="00CE0A9F"/>
    <w:rsid w:val="00CE0B04"/>
    <w:rsid w:val="00CE443B"/>
    <w:rsid w:val="00CF58A6"/>
    <w:rsid w:val="00D02988"/>
    <w:rsid w:val="00D05F2F"/>
    <w:rsid w:val="00D065DA"/>
    <w:rsid w:val="00D2293F"/>
    <w:rsid w:val="00D61806"/>
    <w:rsid w:val="00D75302"/>
    <w:rsid w:val="00D80DDA"/>
    <w:rsid w:val="00D85642"/>
    <w:rsid w:val="00DA01B3"/>
    <w:rsid w:val="00DB2E9A"/>
    <w:rsid w:val="00DB71A5"/>
    <w:rsid w:val="00DC0A92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53584"/>
    <w:rsid w:val="00F75913"/>
    <w:rsid w:val="00F846A2"/>
    <w:rsid w:val="00F851D4"/>
    <w:rsid w:val="00FB49C2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1\Downloads\1%20&#1082;&#1074;&#1072;&#1088;&#1090;&#1072;&#1083;%202016&#1075;.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Лист1!$A$46:$A$55</c:f>
              <c:strCache>
                <c:ptCount val="10"/>
                <c:pt idx="0">
                  <c:v>От автора</c:v>
                </c:pt>
                <c:pt idx="1">
                  <c:v>АГРК и ПРК</c:v>
                </c:pt>
                <c:pt idx="2">
                  <c:v>Минстрой РК</c:v>
                </c:pt>
                <c:pt idx="3">
                  <c:v>Администрация сп "Выльгорт"</c:v>
                </c:pt>
                <c:pt idx="4">
                  <c:v>Администрация МО ГО "Сыктывкар"</c:v>
                </c:pt>
                <c:pt idx="5">
                  <c:v>Минимущества РК</c:v>
                </c:pt>
                <c:pt idx="6">
                  <c:v>Администрация сп "Зеленец"</c:v>
                </c:pt>
                <c:pt idx="7">
                  <c:v>Министерство образования РК</c:v>
                </c:pt>
                <c:pt idx="8">
                  <c:v>Минприроды РК</c:v>
                </c:pt>
                <c:pt idx="9">
                  <c:v>Прочие</c:v>
                </c:pt>
              </c:strCache>
            </c:strRef>
          </c:cat>
          <c:val>
            <c:numRef>
              <c:f>Лист1!$B$46:$B$55</c:f>
              <c:numCache>
                <c:formatCode>General</c:formatCode>
                <c:ptCount val="10"/>
                <c:pt idx="0">
                  <c:v>190</c:v>
                </c:pt>
                <c:pt idx="1">
                  <c:v>44</c:v>
                </c:pt>
                <c:pt idx="2">
                  <c:v>16</c:v>
                </c:pt>
                <c:pt idx="3">
                  <c:v>9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32704"/>
        <c:axId val="83042688"/>
      </c:barChart>
      <c:catAx>
        <c:axId val="8303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3042688"/>
        <c:crosses val="autoZero"/>
        <c:auto val="1"/>
        <c:lblAlgn val="ctr"/>
        <c:lblOffset val="100"/>
        <c:noMultiLvlLbl val="0"/>
      </c:catAx>
      <c:valAx>
        <c:axId val="830426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03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Лист1!$A$170:$A$172</c:f>
              <c:strCache>
                <c:ptCount val="3"/>
                <c:pt idx="0">
                  <c:v>вопросы землепользования</c:v>
                </c:pt>
                <c:pt idx="1">
                  <c:v>дорожное хозяйство</c:v>
                </c:pt>
                <c:pt idx="2">
                  <c:v>прочие</c:v>
                </c:pt>
              </c:strCache>
            </c:strRef>
          </c:cat>
          <c:val>
            <c:numRef>
              <c:f>Лист1!$B$170:$B$172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Лист1!$A$164:$A$167</c:f>
              <c:strCache>
                <c:ptCount val="4"/>
                <c:pt idx="0">
                  <c:v>вопросы землепользования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Лист1!$B$164:$B$167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Лист1!$A$175:$A$176</c:f>
              <c:strCache>
                <c:ptCount val="1"/>
                <c:pt idx="0">
                  <c:v>коммунальные вопросы</c:v>
                </c:pt>
              </c:strCache>
            </c:strRef>
          </c:cat>
          <c:val>
            <c:numRef>
              <c:f>Лист1!$B$175:$B$176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Лист1!$A$175:$A$176</c:f>
              <c:strCache>
                <c:ptCount val="1"/>
                <c:pt idx="0">
                  <c:v>коммунальные вопросы</c:v>
                </c:pt>
              </c:strCache>
            </c:strRef>
          </c:cat>
          <c:val>
            <c:numRef>
              <c:f>Лист1!$B$175:$B$176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Лист1!$A$174:$A$175</c:f>
              <c:strCache>
                <c:ptCount val="2"/>
                <c:pt idx="0">
                  <c:v>жилищные вопросы</c:v>
                </c:pt>
                <c:pt idx="1">
                  <c:v>коммунальные вопросы</c:v>
                </c:pt>
              </c:strCache>
            </c:strRef>
          </c:cat>
          <c:val>
            <c:numRef>
              <c:f>Лист1!$B$174:$B$175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Лист1!$A$215</c:f>
              <c:strCache>
                <c:ptCount val="1"/>
                <c:pt idx="0">
                  <c:v>жилищные вопросы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Лист1!$B$215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Вопросы благоустройства сельских территорий</c:v>
                </c:pt>
                <c:pt idx="5">
                  <c:v>Оказание материальной помощи</c:v>
                </c:pt>
                <c:pt idx="6">
                  <c:v>Вопросы строительства</c:v>
                </c:pt>
                <c:pt idx="7">
                  <c:v>Вопросы газификации</c:v>
                </c:pt>
                <c:pt idx="8">
                  <c:v>Вопросы образования</c:v>
                </c:pt>
                <c:pt idx="9">
                  <c:v>Транспорт</c:v>
                </c:pt>
                <c:pt idx="10">
                  <c:v>Прочие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94</c:v>
                </c:pt>
                <c:pt idx="1">
                  <c:v>45</c:v>
                </c:pt>
                <c:pt idx="2">
                  <c:v>36</c:v>
                </c:pt>
                <c:pt idx="3">
                  <c:v>30</c:v>
                </c:pt>
                <c:pt idx="4">
                  <c:v>20</c:v>
                </c:pt>
                <c:pt idx="5">
                  <c:v>11</c:v>
                </c:pt>
                <c:pt idx="6">
                  <c:v>10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  <c:pt idx="1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932852143482278E-2"/>
          <c:y val="4.5871559633027505E-2"/>
          <c:w val="0.9009735345581813"/>
          <c:h val="0.6955623780972318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Лист1!$A$96:$A$108</c:f>
              <c:strCache>
                <c:ptCount val="13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Палевицы</c:v>
                </c:pt>
                <c:pt idx="4">
                  <c:v>Яснэг</c:v>
                </c:pt>
                <c:pt idx="5">
                  <c:v>Ыб</c:v>
                </c:pt>
                <c:pt idx="6">
                  <c:v>Озёл</c:v>
                </c:pt>
                <c:pt idx="7">
                  <c:v>Слудка</c:v>
                </c:pt>
                <c:pt idx="8">
                  <c:v>Часово</c:v>
                </c:pt>
                <c:pt idx="9">
                  <c:v>Нювчим</c:v>
                </c:pt>
                <c:pt idx="10">
                  <c:v>Мандач</c:v>
                </c:pt>
                <c:pt idx="11">
                  <c:v>Лэзым</c:v>
                </c:pt>
                <c:pt idx="12">
                  <c:v>Прочее</c:v>
                </c:pt>
              </c:strCache>
            </c:strRef>
          </c:cat>
          <c:val>
            <c:numRef>
              <c:f>Лист1!$B$96:$B$108</c:f>
              <c:numCache>
                <c:formatCode>General</c:formatCode>
                <c:ptCount val="13"/>
                <c:pt idx="0">
                  <c:v>132</c:v>
                </c:pt>
                <c:pt idx="1">
                  <c:v>21</c:v>
                </c:pt>
                <c:pt idx="2">
                  <c:v>19</c:v>
                </c:pt>
                <c:pt idx="3">
                  <c:v>13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2</c:v>
                </c:pt>
                <c:pt idx="1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69184"/>
        <c:axId val="83070976"/>
      </c:barChart>
      <c:catAx>
        <c:axId val="8306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83070976"/>
        <c:crosses val="autoZero"/>
        <c:auto val="1"/>
        <c:lblAlgn val="ctr"/>
        <c:lblOffset val="100"/>
        <c:noMultiLvlLbl val="0"/>
      </c:catAx>
      <c:valAx>
        <c:axId val="830709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06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Лист1!$A$125:$A$135</c:f>
              <c:strCache>
                <c:ptCount val="11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вопросы благоустройства</c:v>
                </c:pt>
                <c:pt idx="5">
                  <c:v>вопросы газификации</c:v>
                </c:pt>
                <c:pt idx="6">
                  <c:v>вопросы строительства</c:v>
                </c:pt>
                <c:pt idx="7">
                  <c:v>материальная помощь</c:v>
                </c:pt>
                <c:pt idx="8">
                  <c:v>транспорт</c:v>
                </c:pt>
                <c:pt idx="9">
                  <c:v>поддержка предпринимателей</c:v>
                </c:pt>
                <c:pt idx="10">
                  <c:v>прочее</c:v>
                </c:pt>
              </c:strCache>
            </c:strRef>
          </c:cat>
          <c:val>
            <c:numRef>
              <c:f>Лист1!$B$125:$B$135</c:f>
              <c:numCache>
                <c:formatCode>General</c:formatCode>
                <c:ptCount val="11"/>
                <c:pt idx="0">
                  <c:v>40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12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78528"/>
        <c:axId val="83088512"/>
      </c:barChart>
      <c:catAx>
        <c:axId val="83078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3088512"/>
        <c:crosses val="autoZero"/>
        <c:auto val="1"/>
        <c:lblAlgn val="ctr"/>
        <c:lblOffset val="100"/>
        <c:noMultiLvlLbl val="0"/>
      </c:catAx>
      <c:valAx>
        <c:axId val="830885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307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Лист1!$A$151:$A$154</c:f>
              <c:strCache>
                <c:ptCount val="4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дорожное хозяйство</c:v>
                </c:pt>
                <c:pt idx="3">
                  <c:v>коммунальные вопросы</c:v>
                </c:pt>
              </c:strCache>
            </c:strRef>
          </c:cat>
          <c:val>
            <c:numRef>
              <c:f>Лист1!$B$151:$B$154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Лист1!$A$151:$A$154</c:f>
              <c:strCache>
                <c:ptCount val="4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дорожное хозяйство</c:v>
                </c:pt>
                <c:pt idx="3">
                  <c:v>коммунальные вопросы</c:v>
                </c:pt>
              </c:strCache>
            </c:strRef>
          </c:cat>
          <c:val>
            <c:numRef>
              <c:f>Лист1!$B$151:$B$154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Лист1!$A$150:$A$154</c:f>
              <c:strCache>
                <c:ptCount val="5"/>
                <c:pt idx="0">
                  <c:v>вопросы образования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</c:strCache>
            </c:strRef>
          </c:cat>
          <c:val>
            <c:numRef>
              <c:f>Лист1!$B$150:$B$154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Лист1!$A$165:$A$167</c:f>
              <c:strCache>
                <c:ptCount val="3"/>
                <c:pt idx="2">
                  <c:v>дорожное хозяйство</c:v>
                </c:pt>
              </c:strCache>
            </c:strRef>
          </c:cat>
          <c:val>
            <c:numRef>
              <c:f>Лист1!$B$165:$B$167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Лист1!$A$165:$A$168</c:f>
              <c:strCache>
                <c:ptCount val="3"/>
                <c:pt idx="2">
                  <c:v>дорожное хозяйство</c:v>
                </c:pt>
              </c:strCache>
            </c:strRef>
          </c:cat>
          <c:val>
            <c:numRef>
              <c:f>Лист1!$B$165:$B$168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5945-68A0-426A-84DE-21A3457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2016-04-11T13:08:00Z</cp:lastPrinted>
  <dcterms:created xsi:type="dcterms:W3CDTF">2017-03-06T08:07:00Z</dcterms:created>
  <dcterms:modified xsi:type="dcterms:W3CDTF">2017-03-06T08:07:00Z</dcterms:modified>
</cp:coreProperties>
</file>