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7879" w:rsidRDefault="00B77D09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4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2014 </w:t>
      </w:r>
      <w:r w:rsidR="00134318">
        <w:rPr>
          <w:rFonts w:ascii="Times New Roman" w:hAnsi="Times New Roman" w:cs="Times New Roman"/>
          <w:iCs/>
          <w:sz w:val="24"/>
          <w:szCs w:val="24"/>
        </w:rPr>
        <w:t>г.</w:t>
      </w: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>за 4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2014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. от граждан поступило 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3D9C">
        <w:rPr>
          <w:rFonts w:ascii="Times New Roman" w:hAnsi="Times New Roman" w:cs="Times New Roman"/>
          <w:iCs/>
          <w:sz w:val="24"/>
          <w:szCs w:val="24"/>
        </w:rPr>
        <w:t>15</w:t>
      </w:r>
      <w:r w:rsidR="0026795B">
        <w:rPr>
          <w:rFonts w:ascii="Times New Roman" w:hAnsi="Times New Roman" w:cs="Times New Roman"/>
          <w:iCs/>
          <w:sz w:val="24"/>
          <w:szCs w:val="24"/>
        </w:rPr>
        <w:t>2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B77D09">
        <w:rPr>
          <w:rFonts w:ascii="Times New Roman" w:hAnsi="Times New Roman" w:cs="Times New Roman"/>
          <w:iCs/>
          <w:sz w:val="24"/>
          <w:szCs w:val="24"/>
        </w:rPr>
        <w:t>я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2823">
        <w:rPr>
          <w:rFonts w:ascii="Times New Roman" w:hAnsi="Times New Roman" w:cs="Times New Roman"/>
          <w:iCs/>
          <w:sz w:val="24"/>
          <w:szCs w:val="24"/>
        </w:rPr>
        <w:t>141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0281">
        <w:rPr>
          <w:rFonts w:ascii="Times New Roman" w:hAnsi="Times New Roman" w:cs="Times New Roman"/>
          <w:iCs/>
          <w:sz w:val="24"/>
          <w:szCs w:val="24"/>
        </w:rPr>
        <w:t>письменное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110281">
        <w:rPr>
          <w:rFonts w:ascii="Times New Roman" w:hAnsi="Times New Roman" w:cs="Times New Roman"/>
          <w:iCs/>
          <w:sz w:val="24"/>
          <w:szCs w:val="24"/>
        </w:rPr>
        <w:t>е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CB66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7D09">
        <w:rPr>
          <w:rFonts w:ascii="Times New Roman" w:hAnsi="Times New Roman" w:cs="Times New Roman"/>
          <w:iCs/>
          <w:sz w:val="24"/>
          <w:szCs w:val="24"/>
        </w:rPr>
        <w:t>11</w:t>
      </w:r>
      <w:r w:rsidR="00C526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35F7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8626E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A3D9C">
        <w:rPr>
          <w:rFonts w:ascii="Times New Roman" w:hAnsi="Times New Roman" w:cs="Times New Roman"/>
          <w:iCs/>
          <w:sz w:val="24"/>
          <w:szCs w:val="24"/>
        </w:rPr>
        <w:t>Из них 5</w:t>
      </w:r>
      <w:r w:rsidR="00022085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ED73E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27089" w:rsidRDefault="00A40CDC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427089">
        <w:rPr>
          <w:rFonts w:ascii="Times New Roman" w:hAnsi="Times New Roman" w:cs="Times New Roman"/>
          <w:iCs/>
          <w:sz w:val="24"/>
          <w:szCs w:val="24"/>
        </w:rPr>
        <w:t xml:space="preserve"> сл</w:t>
      </w:r>
      <w:r w:rsidR="00D75302">
        <w:rPr>
          <w:rFonts w:ascii="Times New Roman" w:hAnsi="Times New Roman" w:cs="Times New Roman"/>
          <w:iCs/>
          <w:sz w:val="24"/>
          <w:szCs w:val="24"/>
        </w:rPr>
        <w:t>у</w:t>
      </w:r>
      <w:r w:rsidR="00140973">
        <w:rPr>
          <w:rFonts w:ascii="Times New Roman" w:hAnsi="Times New Roman" w:cs="Times New Roman"/>
          <w:iCs/>
          <w:sz w:val="24"/>
          <w:szCs w:val="24"/>
        </w:rPr>
        <w:t xml:space="preserve">жбу «одного окна» поступило </w:t>
      </w:r>
      <w:r w:rsidR="00110281">
        <w:rPr>
          <w:rFonts w:ascii="Times New Roman" w:hAnsi="Times New Roman" w:cs="Times New Roman"/>
          <w:iCs/>
          <w:sz w:val="24"/>
          <w:szCs w:val="24"/>
        </w:rPr>
        <w:t>1430</w:t>
      </w:r>
      <w:r w:rsidR="00427089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8935F7">
        <w:rPr>
          <w:rFonts w:ascii="Times New Roman" w:hAnsi="Times New Roman" w:cs="Times New Roman"/>
          <w:iCs/>
          <w:sz w:val="24"/>
          <w:szCs w:val="24"/>
        </w:rPr>
        <w:t>й</w:t>
      </w:r>
      <w:r w:rsidR="00427089">
        <w:rPr>
          <w:rFonts w:ascii="Times New Roman" w:hAnsi="Times New Roman" w:cs="Times New Roman"/>
          <w:iCs/>
          <w:sz w:val="24"/>
          <w:szCs w:val="24"/>
        </w:rPr>
        <w:t>.</w:t>
      </w:r>
    </w:p>
    <w:p w:rsidR="00BE0A21" w:rsidRDefault="00C14B9C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D065DA">
        <w:rPr>
          <w:rFonts w:ascii="Times New Roman" w:hAnsi="Times New Roman" w:cs="Times New Roman"/>
          <w:iCs/>
          <w:sz w:val="24"/>
          <w:szCs w:val="24"/>
        </w:rPr>
        <w:t xml:space="preserve"> 9</w:t>
      </w:r>
      <w:r w:rsidR="00AA3D9C">
        <w:rPr>
          <w:rFonts w:ascii="Times New Roman" w:hAnsi="Times New Roman" w:cs="Times New Roman"/>
          <w:iCs/>
          <w:sz w:val="24"/>
          <w:szCs w:val="24"/>
        </w:rPr>
        <w:t>7</w:t>
      </w:r>
      <w:r w:rsidR="007053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74630B">
        <w:rPr>
          <w:rFonts w:ascii="Times New Roman" w:hAnsi="Times New Roman" w:cs="Times New Roman"/>
          <w:iCs/>
          <w:sz w:val="24"/>
          <w:szCs w:val="24"/>
        </w:rPr>
        <w:t>, через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110281">
        <w:rPr>
          <w:rFonts w:ascii="Times New Roman" w:hAnsi="Times New Roman" w:cs="Times New Roman"/>
          <w:iCs/>
          <w:sz w:val="24"/>
          <w:szCs w:val="24"/>
        </w:rPr>
        <w:t>55 обращений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gramStart"/>
      <w:r w:rsidR="00DA01B3">
        <w:rPr>
          <w:rFonts w:ascii="Times New Roman" w:hAnsi="Times New Roman" w:cs="Times New Roman"/>
          <w:iCs/>
          <w:sz w:val="24"/>
          <w:szCs w:val="24"/>
        </w:rPr>
        <w:t>Отдел обращений</w:t>
      </w:r>
      <w:r w:rsidR="00021E09">
        <w:rPr>
          <w:rFonts w:ascii="Times New Roman" w:hAnsi="Times New Roman" w:cs="Times New Roman"/>
          <w:iCs/>
          <w:sz w:val="24"/>
          <w:szCs w:val="24"/>
        </w:rPr>
        <w:t xml:space="preserve"> граждан контрольно-аналитического управления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 Администрации Главы Республики Коми и Правительства Республики Коми, заместителей</w:t>
      </w:r>
      <w:r w:rsidR="00447A98">
        <w:rPr>
          <w:rFonts w:ascii="Times New Roman" w:hAnsi="Times New Roman" w:cs="Times New Roman"/>
          <w:iCs/>
          <w:sz w:val="24"/>
          <w:szCs w:val="24"/>
        </w:rPr>
        <w:t xml:space="preserve">, советника </w:t>
      </w:r>
      <w:r w:rsidR="007A05C0">
        <w:rPr>
          <w:rFonts w:ascii="Times New Roman" w:hAnsi="Times New Roman" w:cs="Times New Roman"/>
          <w:iCs/>
          <w:sz w:val="24"/>
          <w:szCs w:val="24"/>
        </w:rPr>
        <w:t>Главы РК</w:t>
      </w:r>
      <w:r w:rsidR="00C14156">
        <w:rPr>
          <w:rFonts w:ascii="Times New Roman" w:hAnsi="Times New Roman" w:cs="Times New Roman"/>
          <w:iCs/>
          <w:sz w:val="24"/>
          <w:szCs w:val="24"/>
        </w:rPr>
        <w:t xml:space="preserve"> (в </w:t>
      </w:r>
      <w:proofErr w:type="spellStart"/>
      <w:r w:rsidR="00C14156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C14156">
        <w:rPr>
          <w:rFonts w:ascii="Times New Roman" w:hAnsi="Times New Roman" w:cs="Times New Roman"/>
          <w:iCs/>
          <w:sz w:val="24"/>
          <w:szCs w:val="24"/>
        </w:rPr>
        <w:t>. из Администрации Президента РФ)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110281">
        <w:rPr>
          <w:rFonts w:ascii="Times New Roman" w:hAnsi="Times New Roman" w:cs="Times New Roman"/>
          <w:iCs/>
          <w:sz w:val="24"/>
          <w:szCs w:val="24"/>
        </w:rPr>
        <w:t>27</w:t>
      </w:r>
      <w:r w:rsidR="00026EA0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DA01B3">
        <w:rPr>
          <w:rFonts w:ascii="Times New Roman" w:hAnsi="Times New Roman" w:cs="Times New Roman"/>
          <w:iCs/>
          <w:sz w:val="24"/>
          <w:szCs w:val="24"/>
        </w:rPr>
        <w:t>Администрация сел</w:t>
      </w:r>
      <w:r w:rsidR="00110281">
        <w:rPr>
          <w:rFonts w:ascii="Times New Roman" w:hAnsi="Times New Roman" w:cs="Times New Roman"/>
          <w:iCs/>
          <w:sz w:val="24"/>
          <w:szCs w:val="24"/>
        </w:rPr>
        <w:t>ьского поселения «</w:t>
      </w:r>
      <w:proofErr w:type="spellStart"/>
      <w:r w:rsidR="00110281">
        <w:rPr>
          <w:rFonts w:ascii="Times New Roman" w:hAnsi="Times New Roman" w:cs="Times New Roman"/>
          <w:iCs/>
          <w:sz w:val="24"/>
          <w:szCs w:val="24"/>
        </w:rPr>
        <w:t>Выльгорт</w:t>
      </w:r>
      <w:proofErr w:type="spellEnd"/>
      <w:r w:rsidR="00110281">
        <w:rPr>
          <w:rFonts w:ascii="Times New Roman" w:hAnsi="Times New Roman" w:cs="Times New Roman"/>
          <w:iCs/>
          <w:sz w:val="24"/>
          <w:szCs w:val="24"/>
        </w:rPr>
        <w:t>» - 5</w:t>
      </w:r>
      <w:r w:rsidR="00DA01B3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BE0A21">
        <w:rPr>
          <w:rFonts w:ascii="Times New Roman" w:hAnsi="Times New Roman" w:cs="Times New Roman"/>
          <w:iCs/>
          <w:sz w:val="24"/>
          <w:szCs w:val="24"/>
        </w:rPr>
        <w:t xml:space="preserve">Министерство архитектуры, строительства </w:t>
      </w:r>
      <w:r w:rsidR="00110281">
        <w:rPr>
          <w:rFonts w:ascii="Times New Roman" w:hAnsi="Times New Roman" w:cs="Times New Roman"/>
          <w:iCs/>
          <w:sz w:val="24"/>
          <w:szCs w:val="24"/>
        </w:rPr>
        <w:t>и коммунального хозяйства РК – 4</w:t>
      </w:r>
      <w:r w:rsidR="00BE0A21">
        <w:rPr>
          <w:rFonts w:ascii="Times New Roman" w:hAnsi="Times New Roman" w:cs="Times New Roman"/>
          <w:iCs/>
          <w:sz w:val="24"/>
          <w:szCs w:val="24"/>
        </w:rPr>
        <w:t>;</w:t>
      </w:r>
      <w:r w:rsidR="007A26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01B3">
        <w:rPr>
          <w:rFonts w:ascii="Times New Roman" w:hAnsi="Times New Roman" w:cs="Times New Roman"/>
          <w:iCs/>
          <w:sz w:val="24"/>
          <w:szCs w:val="24"/>
        </w:rPr>
        <w:t>Агентство РК по управлению имуществом –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4</w:t>
      </w:r>
      <w:r w:rsidR="00AA1BEE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«Зеленец» - 3; </w:t>
      </w:r>
      <w:r w:rsidR="007A2679">
        <w:rPr>
          <w:rFonts w:ascii="Times New Roman" w:hAnsi="Times New Roman" w:cs="Times New Roman"/>
          <w:iCs/>
          <w:sz w:val="24"/>
          <w:szCs w:val="24"/>
        </w:rPr>
        <w:t>Государственная жилищная инспекция РК – 2;</w:t>
      </w:r>
      <w:proofErr w:type="gramEnd"/>
      <w:r w:rsidR="007A26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7A2679">
        <w:rPr>
          <w:rFonts w:ascii="Times New Roman" w:hAnsi="Times New Roman" w:cs="Times New Roman"/>
          <w:iCs/>
          <w:sz w:val="24"/>
          <w:szCs w:val="24"/>
        </w:rPr>
        <w:t>10</w:t>
      </w:r>
      <w:r w:rsidR="009A4D7B">
        <w:rPr>
          <w:rFonts w:ascii="Times New Roman" w:hAnsi="Times New Roman" w:cs="Times New Roman"/>
          <w:iCs/>
          <w:sz w:val="24"/>
          <w:szCs w:val="24"/>
        </w:rPr>
        <w:t>.</w:t>
      </w:r>
      <w:r w:rsidR="001825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21E09" w:rsidRDefault="00370EBE" w:rsidP="00DF50AD">
      <w:pPr>
        <w:pStyle w:val="Default"/>
        <w:spacing w:line="276" w:lineRule="auto"/>
        <w:ind w:left="-567" w:firstLine="567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17E5A135" wp14:editId="6CE68C11">
            <wp:extent cx="5295900" cy="3290887"/>
            <wp:effectExtent l="0" t="0" r="19050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0D1B" w:rsidRDefault="001F0D1B" w:rsidP="001F0D1B">
      <w:pPr>
        <w:pStyle w:val="Default"/>
        <w:spacing w:line="276" w:lineRule="auto"/>
        <w:ind w:firstLine="709"/>
        <w:contextualSpacing/>
        <w:jc w:val="both"/>
      </w:pPr>
    </w:p>
    <w:p w:rsidR="004875E4" w:rsidRDefault="000B4A1C" w:rsidP="001F0D1B">
      <w:pPr>
        <w:pStyle w:val="Default"/>
        <w:spacing w:line="276" w:lineRule="auto"/>
        <w:ind w:firstLine="709"/>
        <w:contextualSpacing/>
        <w:jc w:val="both"/>
      </w:pPr>
      <w:r>
        <w:t>О</w:t>
      </w:r>
      <w:r w:rsidR="00B37312" w:rsidRPr="00B37312">
        <w:t xml:space="preserve">бращают на себя внимание обращения: </w:t>
      </w:r>
    </w:p>
    <w:p w:rsidR="0097109F" w:rsidRDefault="0097109F" w:rsidP="0097109F">
      <w:pPr>
        <w:pStyle w:val="Default"/>
        <w:spacing w:line="276" w:lineRule="auto"/>
        <w:contextualSpacing/>
        <w:jc w:val="both"/>
      </w:pPr>
      <w:r>
        <w:t xml:space="preserve">- по вопросам улучшения жилищных условий, предоставления муниципального жилья, муниципального жилищного фонда, предоставления субсидий на жилье; </w:t>
      </w:r>
    </w:p>
    <w:p w:rsidR="0097109F" w:rsidRDefault="0097109F" w:rsidP="0097109F">
      <w:pPr>
        <w:pStyle w:val="Default"/>
        <w:spacing w:line="276" w:lineRule="auto"/>
        <w:contextualSpacing/>
        <w:jc w:val="both"/>
      </w:pPr>
      <w:r>
        <w:t>- 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фонда;</w:t>
      </w:r>
    </w:p>
    <w:p w:rsidR="001F0D1B" w:rsidRDefault="001F0D1B" w:rsidP="001F0D1B">
      <w:pPr>
        <w:pStyle w:val="Default"/>
        <w:spacing w:line="276" w:lineRule="auto"/>
        <w:contextualSpacing/>
        <w:jc w:val="both"/>
      </w:pPr>
      <w:r>
        <w:t xml:space="preserve">- </w:t>
      </w:r>
      <w:r w:rsidRPr="007739D0">
        <w:t>по 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1F0D1B" w:rsidRDefault="001F0D1B" w:rsidP="001F0D1B">
      <w:pPr>
        <w:pStyle w:val="Default"/>
        <w:spacing w:line="276" w:lineRule="auto"/>
        <w:contextualSpacing/>
      </w:pPr>
      <w:r w:rsidRPr="001F0D1B">
        <w:t>- вопросы газификации;</w:t>
      </w:r>
    </w:p>
    <w:p w:rsidR="0097109F" w:rsidRDefault="0097109F" w:rsidP="0097109F">
      <w:pPr>
        <w:pStyle w:val="Default"/>
        <w:spacing w:line="276" w:lineRule="auto"/>
        <w:contextualSpacing/>
        <w:jc w:val="both"/>
      </w:pPr>
      <w:r>
        <w:t>- вопросы благоустройства и обустройства придомовых территорий;</w:t>
      </w:r>
    </w:p>
    <w:p w:rsidR="001F0D1B" w:rsidRDefault="001F0D1B" w:rsidP="001F0D1B">
      <w:pPr>
        <w:pStyle w:val="Default"/>
        <w:spacing w:line="276" w:lineRule="auto"/>
        <w:contextualSpacing/>
      </w:pPr>
      <w:r>
        <w:t>- оказание материальной помощи;</w:t>
      </w:r>
    </w:p>
    <w:p w:rsidR="0097109F" w:rsidRDefault="0097109F" w:rsidP="0097109F">
      <w:pPr>
        <w:pStyle w:val="Default"/>
        <w:spacing w:line="276" w:lineRule="auto"/>
        <w:contextualSpacing/>
        <w:jc w:val="both"/>
      </w:pPr>
      <w:r>
        <w:t>- вопросы строительства;</w:t>
      </w:r>
    </w:p>
    <w:p w:rsidR="0097109F" w:rsidRDefault="0097109F" w:rsidP="0097109F">
      <w:pPr>
        <w:pStyle w:val="Default"/>
        <w:spacing w:line="276" w:lineRule="auto"/>
        <w:contextualSpacing/>
        <w:jc w:val="both"/>
      </w:pPr>
      <w:r>
        <w:t>- отлов безнадзорных животных;</w:t>
      </w:r>
    </w:p>
    <w:p w:rsidR="00B92E80" w:rsidRDefault="00203A29" w:rsidP="001F0D1B">
      <w:pPr>
        <w:pStyle w:val="Default"/>
        <w:spacing w:line="276" w:lineRule="auto"/>
        <w:contextualSpacing/>
        <w:jc w:val="both"/>
      </w:pPr>
      <w:r>
        <w:lastRenderedPageBreak/>
        <w:t>- дорожное хозяйство.</w:t>
      </w:r>
    </w:p>
    <w:p w:rsidR="00AC4F54" w:rsidRDefault="00AC4F54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тематическим направлениям:</w:t>
      </w:r>
    </w:p>
    <w:p w:rsidR="00AC4F54" w:rsidRDefault="0097109F" w:rsidP="00AA1BEE">
      <w:pPr>
        <w:ind w:firstLine="709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180C04EC" wp14:editId="5DB5D4C8">
            <wp:extent cx="5629275" cy="4133851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0C39" w:rsidRDefault="00FF0C39" w:rsidP="00AA1BEE">
      <w:pPr>
        <w:ind w:firstLine="709"/>
        <w:contextualSpacing/>
        <w:jc w:val="center"/>
      </w:pPr>
    </w:p>
    <w:p w:rsidR="00516FF0" w:rsidRPr="004F7851" w:rsidRDefault="0081599B" w:rsidP="001F0D1B">
      <w:pPr>
        <w:ind w:right="-285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8A5AE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4C10C3">
        <w:rPr>
          <w:rFonts w:ascii="Times New Roman" w:hAnsi="Times New Roman" w:cs="Times New Roman"/>
          <w:iCs/>
          <w:sz w:val="24"/>
          <w:szCs w:val="24"/>
        </w:rPr>
        <w:t>Всего дано 171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4C10C3">
        <w:rPr>
          <w:rFonts w:ascii="Times New Roman" w:hAnsi="Times New Roman" w:cs="Times New Roman"/>
          <w:iCs/>
          <w:sz w:val="24"/>
          <w:szCs w:val="24"/>
        </w:rPr>
        <w:t>е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863D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0C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4C10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авторам отказано; </w:t>
      </w:r>
      <w:r w:rsidR="004C10C3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8A644D">
        <w:rPr>
          <w:rFonts w:ascii="Times New Roman" w:hAnsi="Times New Roman" w:cs="Times New Roman"/>
          <w:color w:val="000000"/>
          <w:sz w:val="24"/>
          <w:szCs w:val="24"/>
        </w:rPr>
        <w:t xml:space="preserve"> авторам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10C3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r w:rsidR="004C10C3">
        <w:rPr>
          <w:rFonts w:ascii="Times New Roman" w:hAnsi="Times New Roman" w:cs="Times New Roman"/>
          <w:color w:val="000000"/>
          <w:sz w:val="24"/>
          <w:szCs w:val="24"/>
        </w:rPr>
        <w:t>я находя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A936B0" w:rsidRPr="00A93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="00C76260">
        <w:rPr>
          <w:rFonts w:ascii="Times New Roman" w:hAnsi="Times New Roman" w:cs="Times New Roman"/>
          <w:color w:val="000000"/>
          <w:sz w:val="24"/>
          <w:szCs w:val="24"/>
        </w:rPr>
        <w:t>Треневой</w:t>
      </w:r>
      <w:proofErr w:type="spellEnd"/>
      <w:r w:rsidR="00C76260">
        <w:rPr>
          <w:rFonts w:ascii="Times New Roman" w:hAnsi="Times New Roman" w:cs="Times New Roman"/>
          <w:color w:val="000000"/>
          <w:sz w:val="24"/>
          <w:szCs w:val="24"/>
        </w:rPr>
        <w:t xml:space="preserve"> Е.Н.,</w:t>
      </w:r>
      <w:r w:rsidR="001558E3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заместителю руководителя админист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рации муниципаль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ного района 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Черных А.А.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F7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 принято 10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proofErr w:type="spellStart"/>
      <w:r w:rsidR="00FF0C39">
        <w:rPr>
          <w:rFonts w:ascii="Times New Roman" w:hAnsi="Times New Roman" w:cs="Times New Roman"/>
          <w:color w:val="000000"/>
          <w:sz w:val="24"/>
          <w:szCs w:val="24"/>
        </w:rPr>
        <w:t>Треневой</w:t>
      </w:r>
      <w:proofErr w:type="spellEnd"/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 Е.Н. принят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bookmarkStart w:id="0" w:name="_GoBack"/>
      <w:bookmarkEnd w:id="0"/>
      <w:r w:rsidR="00FF0C39">
        <w:rPr>
          <w:rFonts w:ascii="Times New Roman" w:hAnsi="Times New Roman" w:cs="Times New Roman"/>
          <w:color w:val="000000"/>
          <w:sz w:val="24"/>
          <w:szCs w:val="24"/>
        </w:rPr>
        <w:t>ин.</w:t>
      </w:r>
    </w:p>
    <w:p w:rsidR="00FF0C39" w:rsidRPr="00A53E11" w:rsidRDefault="00FF0C39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4EBAB80" wp14:editId="78516DF6">
            <wp:extent cx="4810125" cy="3048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FF0C39" w:rsidRPr="00A53E11" w:rsidSect="001F0D1B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B3"/>
    <w:rsid w:val="00006DFD"/>
    <w:rsid w:val="00021E09"/>
    <w:rsid w:val="00022085"/>
    <w:rsid w:val="00026EA0"/>
    <w:rsid w:val="00046C83"/>
    <w:rsid w:val="000738A3"/>
    <w:rsid w:val="00090FBA"/>
    <w:rsid w:val="000B37A3"/>
    <w:rsid w:val="000B4A1C"/>
    <w:rsid w:val="000E7F71"/>
    <w:rsid w:val="00110281"/>
    <w:rsid w:val="001117A0"/>
    <w:rsid w:val="001133A3"/>
    <w:rsid w:val="00123D76"/>
    <w:rsid w:val="00127034"/>
    <w:rsid w:val="00131AEF"/>
    <w:rsid w:val="00134318"/>
    <w:rsid w:val="00135DE9"/>
    <w:rsid w:val="00140973"/>
    <w:rsid w:val="00154CAB"/>
    <w:rsid w:val="001558E3"/>
    <w:rsid w:val="001825A9"/>
    <w:rsid w:val="00192512"/>
    <w:rsid w:val="001B3DE5"/>
    <w:rsid w:val="001B706E"/>
    <w:rsid w:val="001D7F40"/>
    <w:rsid w:val="001F0D1B"/>
    <w:rsid w:val="00203A29"/>
    <w:rsid w:val="002132A1"/>
    <w:rsid w:val="00236C33"/>
    <w:rsid w:val="002466E1"/>
    <w:rsid w:val="002533B6"/>
    <w:rsid w:val="0026133E"/>
    <w:rsid w:val="0026795B"/>
    <w:rsid w:val="0029326F"/>
    <w:rsid w:val="002A2174"/>
    <w:rsid w:val="002A74EF"/>
    <w:rsid w:val="002C1979"/>
    <w:rsid w:val="00303BCE"/>
    <w:rsid w:val="003238B9"/>
    <w:rsid w:val="00323D98"/>
    <w:rsid w:val="003528EB"/>
    <w:rsid w:val="00355C82"/>
    <w:rsid w:val="00370EBE"/>
    <w:rsid w:val="00380CC2"/>
    <w:rsid w:val="003B09B3"/>
    <w:rsid w:val="003C5C7D"/>
    <w:rsid w:val="00427089"/>
    <w:rsid w:val="00444A50"/>
    <w:rsid w:val="00447A98"/>
    <w:rsid w:val="0045099D"/>
    <w:rsid w:val="00470D99"/>
    <w:rsid w:val="00471EA8"/>
    <w:rsid w:val="00485442"/>
    <w:rsid w:val="004875E4"/>
    <w:rsid w:val="004C10C3"/>
    <w:rsid w:val="004E4B81"/>
    <w:rsid w:val="004F6CFF"/>
    <w:rsid w:val="004F7851"/>
    <w:rsid w:val="00516FF0"/>
    <w:rsid w:val="00540553"/>
    <w:rsid w:val="00545865"/>
    <w:rsid w:val="00572D72"/>
    <w:rsid w:val="00587B09"/>
    <w:rsid w:val="005A3566"/>
    <w:rsid w:val="005A3A39"/>
    <w:rsid w:val="005B24DF"/>
    <w:rsid w:val="005D4132"/>
    <w:rsid w:val="005E31F7"/>
    <w:rsid w:val="005E350C"/>
    <w:rsid w:val="005E4D74"/>
    <w:rsid w:val="005E5F9A"/>
    <w:rsid w:val="005E642E"/>
    <w:rsid w:val="005F3477"/>
    <w:rsid w:val="00612823"/>
    <w:rsid w:val="006523A7"/>
    <w:rsid w:val="0065442D"/>
    <w:rsid w:val="006556E5"/>
    <w:rsid w:val="006774FF"/>
    <w:rsid w:val="00683680"/>
    <w:rsid w:val="00684C53"/>
    <w:rsid w:val="00687879"/>
    <w:rsid w:val="006A2076"/>
    <w:rsid w:val="006C1408"/>
    <w:rsid w:val="006D40F8"/>
    <w:rsid w:val="006E4AC4"/>
    <w:rsid w:val="006F34D3"/>
    <w:rsid w:val="006F57D4"/>
    <w:rsid w:val="007053FF"/>
    <w:rsid w:val="00716CD2"/>
    <w:rsid w:val="00745338"/>
    <w:rsid w:val="0074630B"/>
    <w:rsid w:val="00772103"/>
    <w:rsid w:val="007739D0"/>
    <w:rsid w:val="007A05C0"/>
    <w:rsid w:val="007A2679"/>
    <w:rsid w:val="007B1D49"/>
    <w:rsid w:val="007C4585"/>
    <w:rsid w:val="007C5688"/>
    <w:rsid w:val="008060FB"/>
    <w:rsid w:val="0081408A"/>
    <w:rsid w:val="0081599B"/>
    <w:rsid w:val="0084473F"/>
    <w:rsid w:val="00847378"/>
    <w:rsid w:val="00854931"/>
    <w:rsid w:val="008626EA"/>
    <w:rsid w:val="00863D24"/>
    <w:rsid w:val="00870105"/>
    <w:rsid w:val="00886EC4"/>
    <w:rsid w:val="008935F7"/>
    <w:rsid w:val="008A5AE1"/>
    <w:rsid w:val="008A644D"/>
    <w:rsid w:val="008A74C7"/>
    <w:rsid w:val="008B6BFD"/>
    <w:rsid w:val="008E14E2"/>
    <w:rsid w:val="00902FFF"/>
    <w:rsid w:val="00905955"/>
    <w:rsid w:val="0097109F"/>
    <w:rsid w:val="009A4D7B"/>
    <w:rsid w:val="009B409C"/>
    <w:rsid w:val="009D0F40"/>
    <w:rsid w:val="009E1FD4"/>
    <w:rsid w:val="009E2499"/>
    <w:rsid w:val="009E7039"/>
    <w:rsid w:val="009E71AC"/>
    <w:rsid w:val="009F2B5A"/>
    <w:rsid w:val="00A11F78"/>
    <w:rsid w:val="00A31F6F"/>
    <w:rsid w:val="00A40CDC"/>
    <w:rsid w:val="00A473D8"/>
    <w:rsid w:val="00A53E11"/>
    <w:rsid w:val="00A7609D"/>
    <w:rsid w:val="00A8013A"/>
    <w:rsid w:val="00A823D5"/>
    <w:rsid w:val="00A936B0"/>
    <w:rsid w:val="00AA1BEE"/>
    <w:rsid w:val="00AA3D9C"/>
    <w:rsid w:val="00AB1AD1"/>
    <w:rsid w:val="00AB4B56"/>
    <w:rsid w:val="00AB74D5"/>
    <w:rsid w:val="00AC4F54"/>
    <w:rsid w:val="00AE6FDF"/>
    <w:rsid w:val="00B06A39"/>
    <w:rsid w:val="00B07456"/>
    <w:rsid w:val="00B1428A"/>
    <w:rsid w:val="00B37312"/>
    <w:rsid w:val="00B63EBB"/>
    <w:rsid w:val="00B77D09"/>
    <w:rsid w:val="00B8392A"/>
    <w:rsid w:val="00B92E80"/>
    <w:rsid w:val="00BB37FE"/>
    <w:rsid w:val="00BB398D"/>
    <w:rsid w:val="00BB7F2A"/>
    <w:rsid w:val="00BD4C92"/>
    <w:rsid w:val="00BE0A21"/>
    <w:rsid w:val="00BE4FEB"/>
    <w:rsid w:val="00C009F8"/>
    <w:rsid w:val="00C140FA"/>
    <w:rsid w:val="00C14156"/>
    <w:rsid w:val="00C14B9C"/>
    <w:rsid w:val="00C22272"/>
    <w:rsid w:val="00C52631"/>
    <w:rsid w:val="00C56F79"/>
    <w:rsid w:val="00C60F25"/>
    <w:rsid w:val="00C6101A"/>
    <w:rsid w:val="00C63744"/>
    <w:rsid w:val="00C64470"/>
    <w:rsid w:val="00C76260"/>
    <w:rsid w:val="00C93CF9"/>
    <w:rsid w:val="00CB6670"/>
    <w:rsid w:val="00CD4F39"/>
    <w:rsid w:val="00CE0B04"/>
    <w:rsid w:val="00CE443B"/>
    <w:rsid w:val="00D02988"/>
    <w:rsid w:val="00D05F2F"/>
    <w:rsid w:val="00D065DA"/>
    <w:rsid w:val="00D2293F"/>
    <w:rsid w:val="00D61806"/>
    <w:rsid w:val="00D75302"/>
    <w:rsid w:val="00D85642"/>
    <w:rsid w:val="00DA01B3"/>
    <w:rsid w:val="00DB2E9A"/>
    <w:rsid w:val="00DD66C5"/>
    <w:rsid w:val="00DF250C"/>
    <w:rsid w:val="00DF2C65"/>
    <w:rsid w:val="00DF50AD"/>
    <w:rsid w:val="00DF5FE4"/>
    <w:rsid w:val="00DF765A"/>
    <w:rsid w:val="00E056C5"/>
    <w:rsid w:val="00E10FA6"/>
    <w:rsid w:val="00E27553"/>
    <w:rsid w:val="00E45C30"/>
    <w:rsid w:val="00E50FC1"/>
    <w:rsid w:val="00E60B17"/>
    <w:rsid w:val="00E66A54"/>
    <w:rsid w:val="00EA5B36"/>
    <w:rsid w:val="00EC788C"/>
    <w:rsid w:val="00ED73E7"/>
    <w:rsid w:val="00F00987"/>
    <w:rsid w:val="00F067BE"/>
    <w:rsid w:val="00F53584"/>
    <w:rsid w:val="00F75913"/>
    <w:rsid w:val="00F846A2"/>
    <w:rsid w:val="00F851D4"/>
    <w:rsid w:val="00FE3F7B"/>
    <w:rsid w:val="00FF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Лист1!$A$38:$A$45</c:f>
              <c:strCache>
                <c:ptCount val="8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Минархстрой РК</c:v>
                </c:pt>
                <c:pt idx="4">
                  <c:v>Агентство РК по управлению имуществом</c:v>
                </c:pt>
                <c:pt idx="5">
                  <c:v>Администрация сп «Зеленец»</c:v>
                </c:pt>
                <c:pt idx="6">
                  <c:v>Госжилинспекция РК</c:v>
                </c:pt>
                <c:pt idx="7">
                  <c:v>Прочие</c:v>
                </c:pt>
              </c:strCache>
            </c:strRef>
          </c:cat>
          <c:val>
            <c:numRef>
              <c:f>Лист1!$B$38:$B$45</c:f>
              <c:numCache>
                <c:formatCode>General</c:formatCode>
                <c:ptCount val="8"/>
                <c:pt idx="0">
                  <c:v>97</c:v>
                </c:pt>
                <c:pt idx="1">
                  <c:v>27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38048"/>
        <c:axId val="92339584"/>
      </c:barChart>
      <c:catAx>
        <c:axId val="9233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92339584"/>
        <c:crosses val="autoZero"/>
        <c:auto val="1"/>
        <c:lblAlgn val="ctr"/>
        <c:lblOffset val="100"/>
        <c:noMultiLvlLbl val="0"/>
      </c:catAx>
      <c:valAx>
        <c:axId val="923395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233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Лист1!$A$1:$A$10</c:f>
              <c:strCache>
                <c:ptCount val="10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Вопросы газификации</c:v>
                </c:pt>
                <c:pt idx="4">
                  <c:v>Вопросы благоустройства</c:v>
                </c:pt>
                <c:pt idx="5">
                  <c:v>Оказание материальной помощи</c:v>
                </c:pt>
                <c:pt idx="6">
                  <c:v>Вопросы строительства</c:v>
                </c:pt>
                <c:pt idx="7">
                  <c:v>Отлов безнадзорых животных</c:v>
                </c:pt>
                <c:pt idx="8">
                  <c:v>Дорожное хозяйство</c:v>
                </c:pt>
                <c:pt idx="9">
                  <c:v>Прочие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45</c:v>
                </c:pt>
                <c:pt idx="1">
                  <c:v>29</c:v>
                </c:pt>
                <c:pt idx="2">
                  <c:v>26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1</c:v>
                </c:pt>
                <c:pt idx="9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Лист1!$A$15:$A$16</c:f>
              <c:strCache>
                <c:ptCount val="2"/>
                <c:pt idx="0">
                  <c:v>Лажанев О.А.</c:v>
                </c:pt>
                <c:pt idx="1">
                  <c:v>Тренева Е.Н.</c:v>
                </c:pt>
              </c:strCache>
            </c:strRef>
          </c:cat>
          <c:val>
            <c:numRef>
              <c:f>Лист1!$B$15:$B$16</c:f>
              <c:numCache>
                <c:formatCode>General</c:formatCode>
                <c:ptCount val="2"/>
                <c:pt idx="0">
                  <c:v>10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609A-6718-4ECF-B476-9AC6D60C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53</cp:revision>
  <cp:lastPrinted>2015-01-14T13:28:00Z</cp:lastPrinted>
  <dcterms:created xsi:type="dcterms:W3CDTF">2013-04-07T07:19:00Z</dcterms:created>
  <dcterms:modified xsi:type="dcterms:W3CDTF">2015-01-14T13:59:00Z</dcterms:modified>
</cp:coreProperties>
</file>