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Pr="00C05BF3" w:rsidRDefault="001D7F40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>Обзор письменных и устных обращений граждан</w:t>
      </w:r>
    </w:p>
    <w:p w:rsidR="00687879" w:rsidRPr="00C05BF3" w:rsidRDefault="00B038B2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за </w:t>
      </w:r>
      <w:r w:rsidR="009F157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3238B9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квартал 201</w:t>
      </w:r>
      <w:r w:rsidR="00AF456E" w:rsidRPr="00C05BF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2C666D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B1074" w:rsidRPr="00C05BF3">
        <w:rPr>
          <w:rFonts w:ascii="Times New Roman" w:hAnsi="Times New Roman" w:cs="Times New Roman"/>
          <w:b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9F1572">
        <w:rPr>
          <w:rFonts w:ascii="Times New Roman" w:hAnsi="Times New Roman" w:cs="Times New Roman"/>
          <w:iCs/>
          <w:sz w:val="24"/>
          <w:szCs w:val="24"/>
        </w:rPr>
        <w:t>4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AF456E">
        <w:rPr>
          <w:rFonts w:ascii="Times New Roman" w:hAnsi="Times New Roman" w:cs="Times New Roman"/>
          <w:iCs/>
          <w:sz w:val="24"/>
          <w:szCs w:val="24"/>
        </w:rPr>
        <w:t>8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8F264B">
        <w:rPr>
          <w:rFonts w:ascii="Times New Roman" w:hAnsi="Times New Roman" w:cs="Times New Roman"/>
          <w:iCs/>
          <w:sz w:val="24"/>
          <w:szCs w:val="24"/>
        </w:rPr>
        <w:t>3</w:t>
      </w:r>
      <w:r w:rsidR="009F1572">
        <w:rPr>
          <w:rFonts w:ascii="Times New Roman" w:hAnsi="Times New Roman" w:cs="Times New Roman"/>
          <w:iCs/>
          <w:sz w:val="24"/>
          <w:szCs w:val="24"/>
        </w:rPr>
        <w:t>9</w:t>
      </w:r>
      <w:r w:rsidR="003745AF">
        <w:rPr>
          <w:rFonts w:ascii="Times New Roman" w:hAnsi="Times New Roman" w:cs="Times New Roman"/>
          <w:iCs/>
          <w:sz w:val="24"/>
          <w:szCs w:val="24"/>
        </w:rPr>
        <w:t>6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06E88">
        <w:rPr>
          <w:rFonts w:ascii="Times New Roman" w:hAnsi="Times New Roman" w:cs="Times New Roman"/>
          <w:iCs/>
          <w:sz w:val="24"/>
          <w:szCs w:val="24"/>
        </w:rPr>
        <w:t xml:space="preserve">из них </w:t>
      </w:r>
      <w:r w:rsidR="009F1572">
        <w:rPr>
          <w:rFonts w:ascii="Times New Roman" w:hAnsi="Times New Roman" w:cs="Times New Roman"/>
          <w:iCs/>
          <w:sz w:val="24"/>
          <w:szCs w:val="24"/>
        </w:rPr>
        <w:t>10</w:t>
      </w:r>
      <w:r w:rsidR="00C06E88">
        <w:rPr>
          <w:rFonts w:ascii="Times New Roman" w:hAnsi="Times New Roman" w:cs="Times New Roman"/>
          <w:iCs/>
          <w:sz w:val="24"/>
          <w:szCs w:val="24"/>
        </w:rPr>
        <w:t xml:space="preserve"> коллективных, </w:t>
      </w:r>
      <w:r w:rsidR="00BE0A21">
        <w:rPr>
          <w:rFonts w:ascii="Times New Roman" w:hAnsi="Times New Roman" w:cs="Times New Roman"/>
          <w:iCs/>
          <w:sz w:val="24"/>
          <w:szCs w:val="24"/>
        </w:rPr>
        <w:t>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572">
        <w:rPr>
          <w:rFonts w:ascii="Times New Roman" w:hAnsi="Times New Roman" w:cs="Times New Roman"/>
          <w:iCs/>
          <w:sz w:val="24"/>
          <w:szCs w:val="24"/>
        </w:rPr>
        <w:t>3</w:t>
      </w:r>
      <w:r w:rsidR="00761389">
        <w:rPr>
          <w:rFonts w:ascii="Times New Roman" w:hAnsi="Times New Roman" w:cs="Times New Roman"/>
          <w:iCs/>
          <w:sz w:val="24"/>
          <w:szCs w:val="24"/>
        </w:rPr>
        <w:t>27</w:t>
      </w:r>
      <w:r w:rsidR="00E372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389">
        <w:rPr>
          <w:rFonts w:ascii="Times New Roman" w:hAnsi="Times New Roman" w:cs="Times New Roman"/>
          <w:iCs/>
          <w:sz w:val="24"/>
          <w:szCs w:val="24"/>
        </w:rPr>
        <w:t>69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E88">
        <w:rPr>
          <w:rFonts w:ascii="Times New Roman" w:hAnsi="Times New Roman" w:cs="Times New Roman"/>
          <w:iCs/>
          <w:sz w:val="24"/>
          <w:szCs w:val="24"/>
        </w:rPr>
        <w:t>принято на личном приёме.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720E">
        <w:rPr>
          <w:rFonts w:ascii="Times New Roman" w:hAnsi="Times New Roman" w:cs="Times New Roman"/>
          <w:iCs/>
          <w:sz w:val="24"/>
          <w:szCs w:val="24"/>
        </w:rPr>
        <w:t>300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761389">
        <w:rPr>
          <w:rFonts w:ascii="Times New Roman" w:hAnsi="Times New Roman" w:cs="Times New Roman"/>
          <w:iCs/>
          <w:sz w:val="24"/>
          <w:szCs w:val="24"/>
        </w:rPr>
        <w:t>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</w:t>
      </w:r>
      <w:r w:rsidR="001D254B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761389">
        <w:rPr>
          <w:rFonts w:ascii="Times New Roman" w:hAnsi="Times New Roman" w:cs="Times New Roman"/>
          <w:iCs/>
          <w:sz w:val="24"/>
          <w:szCs w:val="24"/>
        </w:rPr>
        <w:t>6</w:t>
      </w:r>
      <w:r w:rsidR="00AF45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0281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1D254B">
        <w:rPr>
          <w:rFonts w:ascii="Times New Roman" w:hAnsi="Times New Roman" w:cs="Times New Roman"/>
          <w:iCs/>
          <w:sz w:val="24"/>
          <w:szCs w:val="24"/>
        </w:rPr>
        <w:t>3</w:t>
      </w:r>
      <w:r w:rsidR="00DF5E5F">
        <w:rPr>
          <w:rFonts w:ascii="Times New Roman" w:hAnsi="Times New Roman" w:cs="Times New Roman"/>
          <w:iCs/>
          <w:sz w:val="24"/>
          <w:szCs w:val="24"/>
        </w:rPr>
        <w:t>8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Государственный Совет РК – </w:t>
      </w:r>
      <w:r w:rsidR="00DF5E5F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761389">
        <w:rPr>
          <w:rFonts w:ascii="Times New Roman" w:hAnsi="Times New Roman" w:cs="Times New Roman"/>
          <w:iCs/>
          <w:sz w:val="24"/>
          <w:szCs w:val="24"/>
        </w:rPr>
        <w:t>7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«Зеленец» - </w:t>
      </w:r>
      <w:r w:rsidR="0076138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«Пажга» - </w:t>
      </w:r>
      <w:r w:rsidR="00761389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F264B" w:rsidRDefault="008F26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Проку</w:t>
      </w:r>
      <w:r w:rsidR="001D254B">
        <w:rPr>
          <w:rFonts w:ascii="Times New Roman" w:hAnsi="Times New Roman" w:cs="Times New Roman"/>
          <w:iCs/>
          <w:sz w:val="24"/>
          <w:szCs w:val="24"/>
        </w:rPr>
        <w:t>ратура Сыктывдинского района – 5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DF5E5F" w:rsidRDefault="00DF5E5F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Прокуратура Республика Коми - 3;</w:t>
      </w:r>
    </w:p>
    <w:p w:rsidR="00DF5E5F" w:rsidRDefault="00DF5E5F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Государственная жилищная инспекция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Сыктывдин</w:t>
      </w:r>
      <w:r w:rsidR="002571F9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районе - 2;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761389">
        <w:rPr>
          <w:rFonts w:ascii="Times New Roman" w:hAnsi="Times New Roman" w:cs="Times New Roman"/>
          <w:iCs/>
          <w:sz w:val="24"/>
          <w:szCs w:val="24"/>
        </w:rPr>
        <w:t>9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DF5E5F" w:rsidRDefault="00DF5E5F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Министерство инвестиций, промышленности и транспорта РК - 2;</w:t>
      </w:r>
    </w:p>
    <w:p w:rsidR="00DF5E5F" w:rsidRDefault="00DF5E5F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Министерство энергетики, жилищно-коммунального хозяйства и тарифов РК - 7;</w:t>
      </w:r>
    </w:p>
    <w:p w:rsidR="00F35DBF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2571F9">
        <w:rPr>
          <w:rFonts w:ascii="Times New Roman" w:hAnsi="Times New Roman" w:cs="Times New Roman"/>
          <w:iCs/>
          <w:sz w:val="24"/>
          <w:szCs w:val="24"/>
        </w:rPr>
        <w:t>1</w:t>
      </w:r>
      <w:r w:rsidR="00DC4349">
        <w:rPr>
          <w:rFonts w:ascii="Times New Roman" w:hAnsi="Times New Roman" w:cs="Times New Roman"/>
          <w:iCs/>
          <w:sz w:val="24"/>
          <w:szCs w:val="24"/>
        </w:rPr>
        <w:t>5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.</w:t>
      </w:r>
    </w:p>
    <w:p w:rsidR="00D07CD1" w:rsidRPr="00D07CD1" w:rsidRDefault="00DC4349" w:rsidP="00D07CD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AF57A2" wp14:editId="19BB146B">
            <wp:extent cx="6152515" cy="3865245"/>
            <wp:effectExtent l="0" t="0" r="19685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lastRenderedPageBreak/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оказания </w:t>
      </w:r>
      <w:r w:rsidR="00384B0F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3C2A6D" w:rsidRDefault="00277239" w:rsidP="006C15AF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F" w:rsidRDefault="006C15AF" w:rsidP="006C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5AF" w:rsidRPr="006C15AF" w:rsidRDefault="006C15AF" w:rsidP="006C1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A6D" w:rsidRDefault="003C2A6D" w:rsidP="003C2A6D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D163F2" w:rsidRDefault="003C2A6D" w:rsidP="00757E0A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4E3325" wp14:editId="76815DFA">
            <wp:extent cx="5486400" cy="69875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C15AF" w:rsidRDefault="006C15AF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C15AF" w:rsidRDefault="006C15AF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2BF7" w:rsidRDefault="005D0E6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9CA671" wp14:editId="790C4835">
            <wp:extent cx="4770120" cy="3112770"/>
            <wp:effectExtent l="0" t="0" r="1143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6C15AF" w:rsidRDefault="006C15AF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C15AF" w:rsidRDefault="00B31ACE" w:rsidP="006C15AF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CFC410" wp14:editId="00A16B0A">
            <wp:extent cx="5012056" cy="5133975"/>
            <wp:effectExtent l="0" t="0" r="1714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2C7" w:rsidRDefault="00887DA9" w:rsidP="006C15A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403B7F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25E9EC" wp14:editId="7AAC34DD">
            <wp:extent cx="5050155" cy="3950970"/>
            <wp:effectExtent l="0" t="0" r="1714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8D25EA" w:rsidRDefault="008D25EA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5C5080" w:rsidP="009025F7">
      <w:pPr>
        <w:ind w:right="-285" w:firstLine="1701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403B7F" w:rsidP="00987BBA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51AB9D" wp14:editId="16E6DE59">
            <wp:extent cx="5318760" cy="4191000"/>
            <wp:effectExtent l="0" t="0" r="1524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6C15AF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«Палевицы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403B7F" w:rsidP="00D05DEF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E7199A" wp14:editId="3CA6F231">
            <wp:extent cx="4602480" cy="328041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51C" w:rsidRDefault="0025551C" w:rsidP="00D74A5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051C8B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 w:rsidR="00D05DEF"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025F7" w:rsidRDefault="009025F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403B7F" w:rsidP="00D05DEF">
      <w:pPr>
        <w:ind w:right="-285"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C90C90" wp14:editId="697D0FEB">
            <wp:extent cx="4572000" cy="2819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5DEF" w:rsidRDefault="00D05DEF" w:rsidP="006C15AF">
      <w:pPr>
        <w:ind w:right="-285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64694" w:rsidRDefault="00C64694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019A" w:rsidRDefault="00C64694" w:rsidP="00C64694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E90FB9" wp14:editId="00E7A078">
            <wp:extent cx="4526280" cy="3223260"/>
            <wp:effectExtent l="0" t="0" r="2667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B63AA" w:rsidRDefault="006B63AA" w:rsidP="00315FC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76EFC" w:rsidRPr="006B63AA" w:rsidRDefault="00776EFC" w:rsidP="00776EF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16FF0" w:rsidRPr="004F7851" w:rsidRDefault="00CE0A9F" w:rsidP="00664D30">
      <w:pPr>
        <w:ind w:right="-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5AF"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920257" w:rsidRPr="006C15AF">
        <w:rPr>
          <w:rFonts w:ascii="Times New Roman" w:hAnsi="Times New Roman" w:cs="Times New Roman"/>
          <w:iCs/>
          <w:sz w:val="24"/>
          <w:szCs w:val="24"/>
        </w:rPr>
        <w:t>510</w:t>
      </w:r>
      <w:r w:rsidR="00380CC2" w:rsidRPr="006C15AF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 w:rsidRPr="006C15AF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 w:rsidRPr="006C15AF">
        <w:rPr>
          <w:rFonts w:ascii="Times New Roman" w:hAnsi="Times New Roman" w:cs="Times New Roman"/>
          <w:iCs/>
          <w:sz w:val="24"/>
          <w:szCs w:val="24"/>
        </w:rPr>
        <w:t>я</w:t>
      </w:r>
      <w:r w:rsidR="006C1408" w:rsidRPr="006C15AF">
        <w:rPr>
          <w:rFonts w:ascii="Times New Roman" w:hAnsi="Times New Roman" w:cs="Times New Roman"/>
          <w:iCs/>
          <w:sz w:val="24"/>
          <w:szCs w:val="24"/>
        </w:rPr>
        <w:t>.</w:t>
      </w:r>
      <w:r w:rsidR="00FE5F83" w:rsidRPr="006C15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 w:rsidRPr="006C1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257" w:rsidRPr="006C15AF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9D0F40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поставленны</w:t>
      </w:r>
      <w:r w:rsidR="005E31F7" w:rsidRPr="006C15A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920257" w:rsidRPr="006C15AF">
        <w:rPr>
          <w:rFonts w:ascii="Times New Roman" w:hAnsi="Times New Roman" w:cs="Times New Roman"/>
          <w:color w:val="000000"/>
          <w:sz w:val="24"/>
          <w:szCs w:val="24"/>
        </w:rPr>
        <w:t>174</w:t>
      </w:r>
      <w:r w:rsidR="00EE33CC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DF7001" w:rsidRPr="006C15AF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B1AD1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 w:rsidRPr="006C15AF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 w:rsidRPr="006C15AF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 w:rsidRPr="006C15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257" w:rsidRPr="006C15AF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FE5F83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 w:rsidRPr="006C15AF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 w:rsidRPr="006C1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 w:rsidRPr="006C15AF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6C15AF" w:rsidRPr="006C15A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916E2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 w:rsidRPr="006C15AF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60768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0257" w:rsidRPr="006C15A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460768" w:rsidRPr="006C15AF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перенаправлены в компетентные органы для дальнейшего рассмотрения</w:t>
      </w:r>
      <w:r w:rsidR="004F7851" w:rsidRPr="006C1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</w:t>
      </w:r>
      <w:proofErr w:type="gramStart"/>
      <w:r w:rsidR="00DF2C65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исполняющему обязанности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26D81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рации м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района Носову В.Ю., </w:t>
      </w:r>
      <w:r w:rsidR="00321BF9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321BF9">
        <w:rPr>
          <w:rFonts w:ascii="Times New Roman" w:hAnsi="Times New Roman" w:cs="Times New Roman"/>
          <w:color w:val="000000"/>
          <w:sz w:val="24"/>
          <w:szCs w:val="24"/>
        </w:rPr>
        <w:t>Федюнёвой</w:t>
      </w:r>
      <w:proofErr w:type="spellEnd"/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41520D" w:rsidRDefault="001558E3" w:rsidP="00BD7C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исполняющего обязанности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D9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640111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D9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773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 Носовым В.Ю. принят</w:t>
      </w:r>
      <w:r w:rsidR="0064011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D9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64011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243D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6B63AA">
      <w:pPr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bookmarkStart w:id="0" w:name="_GoBack"/>
      <w:bookmarkEnd w:id="0"/>
      <w:r w:rsidR="00243D99">
        <w:rPr>
          <w:noProof/>
          <w:lang w:eastAsia="ru-RU"/>
        </w:rPr>
        <w:drawing>
          <wp:inline distT="0" distB="0" distL="0" distR="0" wp14:anchorId="178630DC" wp14:editId="1C81E27D">
            <wp:extent cx="4572000" cy="28575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FF0C39" w:rsidRPr="00A53E11" w:rsidSect="00BD7CC7"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1D" w:rsidRDefault="009C6B1D" w:rsidP="005C1AB2">
      <w:pPr>
        <w:spacing w:after="0" w:line="240" w:lineRule="auto"/>
      </w:pPr>
      <w:r>
        <w:separator/>
      </w:r>
    </w:p>
  </w:endnote>
  <w:endnote w:type="continuationSeparator" w:id="0">
    <w:p w:rsidR="009C6B1D" w:rsidRDefault="009C6B1D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1D" w:rsidRDefault="009C6B1D" w:rsidP="005C1AB2">
      <w:pPr>
        <w:spacing w:after="0" w:line="240" w:lineRule="auto"/>
      </w:pPr>
      <w:r>
        <w:separator/>
      </w:r>
    </w:p>
  </w:footnote>
  <w:footnote w:type="continuationSeparator" w:id="0">
    <w:p w:rsidR="009C6B1D" w:rsidRDefault="009C6B1D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0AB3"/>
    <w:rsid w:val="00021E09"/>
    <w:rsid w:val="00022085"/>
    <w:rsid w:val="00026EA0"/>
    <w:rsid w:val="000448D4"/>
    <w:rsid w:val="00046C83"/>
    <w:rsid w:val="00051C8B"/>
    <w:rsid w:val="00056459"/>
    <w:rsid w:val="00065E45"/>
    <w:rsid w:val="000738A3"/>
    <w:rsid w:val="00090FBA"/>
    <w:rsid w:val="000A1723"/>
    <w:rsid w:val="000A6324"/>
    <w:rsid w:val="000B2182"/>
    <w:rsid w:val="000B2525"/>
    <w:rsid w:val="000B37A3"/>
    <w:rsid w:val="000B4A1C"/>
    <w:rsid w:val="000E5234"/>
    <w:rsid w:val="000E7F71"/>
    <w:rsid w:val="000F54FE"/>
    <w:rsid w:val="001038C1"/>
    <w:rsid w:val="00110281"/>
    <w:rsid w:val="001117A0"/>
    <w:rsid w:val="001133A3"/>
    <w:rsid w:val="00116D6B"/>
    <w:rsid w:val="00122E63"/>
    <w:rsid w:val="001232C5"/>
    <w:rsid w:val="00123D76"/>
    <w:rsid w:val="00127034"/>
    <w:rsid w:val="001302C7"/>
    <w:rsid w:val="00131AEF"/>
    <w:rsid w:val="00134318"/>
    <w:rsid w:val="001345C2"/>
    <w:rsid w:val="00135DE9"/>
    <w:rsid w:val="00140773"/>
    <w:rsid w:val="00140973"/>
    <w:rsid w:val="00142BF7"/>
    <w:rsid w:val="00143AF0"/>
    <w:rsid w:val="00144186"/>
    <w:rsid w:val="00154CAB"/>
    <w:rsid w:val="001558E3"/>
    <w:rsid w:val="001825A9"/>
    <w:rsid w:val="00192512"/>
    <w:rsid w:val="001A2247"/>
    <w:rsid w:val="001B3DE5"/>
    <w:rsid w:val="001B706E"/>
    <w:rsid w:val="001D18DF"/>
    <w:rsid w:val="001D254B"/>
    <w:rsid w:val="001D7F40"/>
    <w:rsid w:val="001E0ED0"/>
    <w:rsid w:val="001E7AC0"/>
    <w:rsid w:val="001F0D1B"/>
    <w:rsid w:val="00203A29"/>
    <w:rsid w:val="002110A2"/>
    <w:rsid w:val="00212615"/>
    <w:rsid w:val="002132A1"/>
    <w:rsid w:val="00224255"/>
    <w:rsid w:val="00236C33"/>
    <w:rsid w:val="0023757D"/>
    <w:rsid w:val="00240C02"/>
    <w:rsid w:val="00240CC3"/>
    <w:rsid w:val="002427B2"/>
    <w:rsid w:val="00243D99"/>
    <w:rsid w:val="002466E1"/>
    <w:rsid w:val="002474AE"/>
    <w:rsid w:val="002533B6"/>
    <w:rsid w:val="0025551C"/>
    <w:rsid w:val="002571F9"/>
    <w:rsid w:val="0026133E"/>
    <w:rsid w:val="0026795B"/>
    <w:rsid w:val="00272E36"/>
    <w:rsid w:val="00277239"/>
    <w:rsid w:val="0029326F"/>
    <w:rsid w:val="00297564"/>
    <w:rsid w:val="002A2174"/>
    <w:rsid w:val="002A74EF"/>
    <w:rsid w:val="002B285C"/>
    <w:rsid w:val="002C1979"/>
    <w:rsid w:val="002C666D"/>
    <w:rsid w:val="002F3D07"/>
    <w:rsid w:val="002F51B6"/>
    <w:rsid w:val="00303BCE"/>
    <w:rsid w:val="003109E5"/>
    <w:rsid w:val="00315FC9"/>
    <w:rsid w:val="00316F3F"/>
    <w:rsid w:val="00320128"/>
    <w:rsid w:val="00321BF9"/>
    <w:rsid w:val="003238B9"/>
    <w:rsid w:val="00323D98"/>
    <w:rsid w:val="003528EB"/>
    <w:rsid w:val="00355C82"/>
    <w:rsid w:val="0036365F"/>
    <w:rsid w:val="003704CD"/>
    <w:rsid w:val="00370EBE"/>
    <w:rsid w:val="003745AF"/>
    <w:rsid w:val="00380CC2"/>
    <w:rsid w:val="00384B0F"/>
    <w:rsid w:val="00386AD4"/>
    <w:rsid w:val="0039370D"/>
    <w:rsid w:val="003A7635"/>
    <w:rsid w:val="003B09B3"/>
    <w:rsid w:val="003B6C8A"/>
    <w:rsid w:val="003C2A6D"/>
    <w:rsid w:val="003C5C7D"/>
    <w:rsid w:val="003E0803"/>
    <w:rsid w:val="003E542E"/>
    <w:rsid w:val="003F188C"/>
    <w:rsid w:val="003F6F2A"/>
    <w:rsid w:val="00403B7F"/>
    <w:rsid w:val="00413086"/>
    <w:rsid w:val="00414058"/>
    <w:rsid w:val="00414C38"/>
    <w:rsid w:val="0041520D"/>
    <w:rsid w:val="004157DA"/>
    <w:rsid w:val="00416FA2"/>
    <w:rsid w:val="00426211"/>
    <w:rsid w:val="00426D81"/>
    <w:rsid w:val="00427089"/>
    <w:rsid w:val="004319B0"/>
    <w:rsid w:val="00444A50"/>
    <w:rsid w:val="00447A98"/>
    <w:rsid w:val="0045072C"/>
    <w:rsid w:val="0045099D"/>
    <w:rsid w:val="00455FC9"/>
    <w:rsid w:val="00460768"/>
    <w:rsid w:val="00470344"/>
    <w:rsid w:val="00470D2F"/>
    <w:rsid w:val="00470D99"/>
    <w:rsid w:val="00471EA8"/>
    <w:rsid w:val="00485442"/>
    <w:rsid w:val="004875E4"/>
    <w:rsid w:val="00490BFB"/>
    <w:rsid w:val="00492B3B"/>
    <w:rsid w:val="004965EE"/>
    <w:rsid w:val="004B0E2B"/>
    <w:rsid w:val="004B1074"/>
    <w:rsid w:val="004C10C3"/>
    <w:rsid w:val="004C1D4C"/>
    <w:rsid w:val="004D5A15"/>
    <w:rsid w:val="004E4B81"/>
    <w:rsid w:val="004F6CFF"/>
    <w:rsid w:val="004F72D9"/>
    <w:rsid w:val="004F7851"/>
    <w:rsid w:val="0050577D"/>
    <w:rsid w:val="00510E27"/>
    <w:rsid w:val="00516FF0"/>
    <w:rsid w:val="005278CA"/>
    <w:rsid w:val="00534319"/>
    <w:rsid w:val="00537707"/>
    <w:rsid w:val="00540553"/>
    <w:rsid w:val="00542C59"/>
    <w:rsid w:val="00545865"/>
    <w:rsid w:val="005574C4"/>
    <w:rsid w:val="00572D72"/>
    <w:rsid w:val="005733D9"/>
    <w:rsid w:val="00583D79"/>
    <w:rsid w:val="00586130"/>
    <w:rsid w:val="00587B09"/>
    <w:rsid w:val="005A0D9F"/>
    <w:rsid w:val="005A3566"/>
    <w:rsid w:val="005A3A39"/>
    <w:rsid w:val="005B0B4C"/>
    <w:rsid w:val="005B24DF"/>
    <w:rsid w:val="005C1AB2"/>
    <w:rsid w:val="005C4504"/>
    <w:rsid w:val="005C5080"/>
    <w:rsid w:val="005C73BE"/>
    <w:rsid w:val="005D04FE"/>
    <w:rsid w:val="005D0E69"/>
    <w:rsid w:val="005D14A3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367F2"/>
    <w:rsid w:val="00640111"/>
    <w:rsid w:val="006444EE"/>
    <w:rsid w:val="00645BCC"/>
    <w:rsid w:val="006523A7"/>
    <w:rsid w:val="0065442D"/>
    <w:rsid w:val="006556E5"/>
    <w:rsid w:val="00664D30"/>
    <w:rsid w:val="00676B51"/>
    <w:rsid w:val="006774FF"/>
    <w:rsid w:val="00677BCC"/>
    <w:rsid w:val="00683680"/>
    <w:rsid w:val="00684C53"/>
    <w:rsid w:val="00684CBC"/>
    <w:rsid w:val="00687879"/>
    <w:rsid w:val="00692530"/>
    <w:rsid w:val="006A0C73"/>
    <w:rsid w:val="006A2076"/>
    <w:rsid w:val="006A6FE8"/>
    <w:rsid w:val="006B4D2B"/>
    <w:rsid w:val="006B63AA"/>
    <w:rsid w:val="006C1408"/>
    <w:rsid w:val="006C15AF"/>
    <w:rsid w:val="006C35BB"/>
    <w:rsid w:val="006D1CFD"/>
    <w:rsid w:val="006D251F"/>
    <w:rsid w:val="006D40F8"/>
    <w:rsid w:val="006E4305"/>
    <w:rsid w:val="006E4AC4"/>
    <w:rsid w:val="006F34D3"/>
    <w:rsid w:val="006F57D4"/>
    <w:rsid w:val="007053FF"/>
    <w:rsid w:val="00716CD2"/>
    <w:rsid w:val="0072191F"/>
    <w:rsid w:val="00727696"/>
    <w:rsid w:val="007371E1"/>
    <w:rsid w:val="00742901"/>
    <w:rsid w:val="00745338"/>
    <w:rsid w:val="0074630B"/>
    <w:rsid w:val="007552DB"/>
    <w:rsid w:val="00757E0A"/>
    <w:rsid w:val="00761389"/>
    <w:rsid w:val="00772103"/>
    <w:rsid w:val="007739D0"/>
    <w:rsid w:val="007756A1"/>
    <w:rsid w:val="00776EFC"/>
    <w:rsid w:val="0077725A"/>
    <w:rsid w:val="00781718"/>
    <w:rsid w:val="007821D7"/>
    <w:rsid w:val="007A05C0"/>
    <w:rsid w:val="007A1CA4"/>
    <w:rsid w:val="007A1D05"/>
    <w:rsid w:val="007A2679"/>
    <w:rsid w:val="007A3CBA"/>
    <w:rsid w:val="007B1D49"/>
    <w:rsid w:val="007B2601"/>
    <w:rsid w:val="007C4585"/>
    <w:rsid w:val="007C5688"/>
    <w:rsid w:val="007D68B5"/>
    <w:rsid w:val="00801061"/>
    <w:rsid w:val="008060FB"/>
    <w:rsid w:val="00807B60"/>
    <w:rsid w:val="0081408A"/>
    <w:rsid w:val="0081599B"/>
    <w:rsid w:val="00834A07"/>
    <w:rsid w:val="00836D0C"/>
    <w:rsid w:val="0084473F"/>
    <w:rsid w:val="00847378"/>
    <w:rsid w:val="00854931"/>
    <w:rsid w:val="008606FD"/>
    <w:rsid w:val="008626EA"/>
    <w:rsid w:val="00863D24"/>
    <w:rsid w:val="00870105"/>
    <w:rsid w:val="00885C5A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D25EA"/>
    <w:rsid w:val="008E14E2"/>
    <w:rsid w:val="008E27FF"/>
    <w:rsid w:val="008E6FC6"/>
    <w:rsid w:val="008F2187"/>
    <w:rsid w:val="008F264B"/>
    <w:rsid w:val="008F3540"/>
    <w:rsid w:val="00902384"/>
    <w:rsid w:val="009025F7"/>
    <w:rsid w:val="00902FFF"/>
    <w:rsid w:val="00905955"/>
    <w:rsid w:val="00907955"/>
    <w:rsid w:val="00915ECE"/>
    <w:rsid w:val="00920257"/>
    <w:rsid w:val="00922E4B"/>
    <w:rsid w:val="00925C44"/>
    <w:rsid w:val="00943EFB"/>
    <w:rsid w:val="00944F68"/>
    <w:rsid w:val="0095282A"/>
    <w:rsid w:val="0097109F"/>
    <w:rsid w:val="0097346F"/>
    <w:rsid w:val="00977028"/>
    <w:rsid w:val="00987BBA"/>
    <w:rsid w:val="00994EC0"/>
    <w:rsid w:val="009A08E1"/>
    <w:rsid w:val="009A4D7B"/>
    <w:rsid w:val="009B409C"/>
    <w:rsid w:val="009B7E1C"/>
    <w:rsid w:val="009C6B1D"/>
    <w:rsid w:val="009C7AC6"/>
    <w:rsid w:val="009D0F40"/>
    <w:rsid w:val="009D4080"/>
    <w:rsid w:val="009E1F4A"/>
    <w:rsid w:val="009E1FD4"/>
    <w:rsid w:val="009E2499"/>
    <w:rsid w:val="009E7039"/>
    <w:rsid w:val="009E71AC"/>
    <w:rsid w:val="009F1572"/>
    <w:rsid w:val="009F2B5A"/>
    <w:rsid w:val="00A11F78"/>
    <w:rsid w:val="00A31F6F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70B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2E64"/>
    <w:rsid w:val="00AB421A"/>
    <w:rsid w:val="00AB4B56"/>
    <w:rsid w:val="00AB74D5"/>
    <w:rsid w:val="00AC061E"/>
    <w:rsid w:val="00AC4F54"/>
    <w:rsid w:val="00AD1C65"/>
    <w:rsid w:val="00AE0B53"/>
    <w:rsid w:val="00AE239F"/>
    <w:rsid w:val="00AE5DEF"/>
    <w:rsid w:val="00AE6FDF"/>
    <w:rsid w:val="00AF456E"/>
    <w:rsid w:val="00AF672B"/>
    <w:rsid w:val="00B038B2"/>
    <w:rsid w:val="00B06A39"/>
    <w:rsid w:val="00B07456"/>
    <w:rsid w:val="00B078CD"/>
    <w:rsid w:val="00B11E93"/>
    <w:rsid w:val="00B1428A"/>
    <w:rsid w:val="00B23E23"/>
    <w:rsid w:val="00B249B7"/>
    <w:rsid w:val="00B31ACE"/>
    <w:rsid w:val="00B37312"/>
    <w:rsid w:val="00B43971"/>
    <w:rsid w:val="00B54127"/>
    <w:rsid w:val="00B55011"/>
    <w:rsid w:val="00B55213"/>
    <w:rsid w:val="00B6019A"/>
    <w:rsid w:val="00B63EBB"/>
    <w:rsid w:val="00B719B0"/>
    <w:rsid w:val="00B77D09"/>
    <w:rsid w:val="00B818D1"/>
    <w:rsid w:val="00B8392A"/>
    <w:rsid w:val="00B87BA6"/>
    <w:rsid w:val="00B92E80"/>
    <w:rsid w:val="00BB37FE"/>
    <w:rsid w:val="00BB398D"/>
    <w:rsid w:val="00BB7F2A"/>
    <w:rsid w:val="00BC1558"/>
    <w:rsid w:val="00BD046C"/>
    <w:rsid w:val="00BD0D47"/>
    <w:rsid w:val="00BD2E92"/>
    <w:rsid w:val="00BD4C92"/>
    <w:rsid w:val="00BD682E"/>
    <w:rsid w:val="00BD72A4"/>
    <w:rsid w:val="00BD7CC7"/>
    <w:rsid w:val="00BE09CE"/>
    <w:rsid w:val="00BE0A21"/>
    <w:rsid w:val="00BE4FEB"/>
    <w:rsid w:val="00BE5C60"/>
    <w:rsid w:val="00BF263D"/>
    <w:rsid w:val="00BF4842"/>
    <w:rsid w:val="00C009F8"/>
    <w:rsid w:val="00C05BF3"/>
    <w:rsid w:val="00C06E8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4694"/>
    <w:rsid w:val="00C66E0B"/>
    <w:rsid w:val="00C7313B"/>
    <w:rsid w:val="00C76260"/>
    <w:rsid w:val="00C802D4"/>
    <w:rsid w:val="00C87331"/>
    <w:rsid w:val="00C93CF9"/>
    <w:rsid w:val="00CA4D06"/>
    <w:rsid w:val="00CA705B"/>
    <w:rsid w:val="00CA7110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DEF"/>
    <w:rsid w:val="00D05F2F"/>
    <w:rsid w:val="00D065DA"/>
    <w:rsid w:val="00D07CD1"/>
    <w:rsid w:val="00D1163F"/>
    <w:rsid w:val="00D1528D"/>
    <w:rsid w:val="00D163F2"/>
    <w:rsid w:val="00D2293F"/>
    <w:rsid w:val="00D43769"/>
    <w:rsid w:val="00D61806"/>
    <w:rsid w:val="00D66666"/>
    <w:rsid w:val="00D74333"/>
    <w:rsid w:val="00D74A5C"/>
    <w:rsid w:val="00D75302"/>
    <w:rsid w:val="00D80DDA"/>
    <w:rsid w:val="00D85642"/>
    <w:rsid w:val="00DA01B3"/>
    <w:rsid w:val="00DA7199"/>
    <w:rsid w:val="00DB2E9A"/>
    <w:rsid w:val="00DB71A5"/>
    <w:rsid w:val="00DC0A92"/>
    <w:rsid w:val="00DC4349"/>
    <w:rsid w:val="00DD66C5"/>
    <w:rsid w:val="00DF250C"/>
    <w:rsid w:val="00DF2C65"/>
    <w:rsid w:val="00DF50AD"/>
    <w:rsid w:val="00DF5E5F"/>
    <w:rsid w:val="00DF5FE4"/>
    <w:rsid w:val="00DF7001"/>
    <w:rsid w:val="00DF765A"/>
    <w:rsid w:val="00E056C5"/>
    <w:rsid w:val="00E10FA6"/>
    <w:rsid w:val="00E11B99"/>
    <w:rsid w:val="00E123D6"/>
    <w:rsid w:val="00E27553"/>
    <w:rsid w:val="00E32892"/>
    <w:rsid w:val="00E33BBF"/>
    <w:rsid w:val="00E3720E"/>
    <w:rsid w:val="00E40EAE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2B6D"/>
    <w:rsid w:val="00EC788C"/>
    <w:rsid w:val="00ED73E7"/>
    <w:rsid w:val="00EE33CC"/>
    <w:rsid w:val="00EE402E"/>
    <w:rsid w:val="00EE4B08"/>
    <w:rsid w:val="00EE6330"/>
    <w:rsid w:val="00EF60B1"/>
    <w:rsid w:val="00F00987"/>
    <w:rsid w:val="00F012D2"/>
    <w:rsid w:val="00F067BE"/>
    <w:rsid w:val="00F12352"/>
    <w:rsid w:val="00F2425A"/>
    <w:rsid w:val="00F35DBF"/>
    <w:rsid w:val="00F36F2B"/>
    <w:rsid w:val="00F53584"/>
    <w:rsid w:val="00F60C7E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srv2\&#1086;&#1073;&#1084;&#1077;&#1085;&#1085;&#1080;&#1082;\&#1054;&#1090;&#1076;&#1077;&#1083;%20&#1086;&#1073;&#1097;&#1077;&#1075;&#1086;%20&#1086;&#1073;&#1077;&#1089;&#1087;&#1077;&#1095;&#1077;&#1085;&#1080;&#1103;\&#1054;&#1073;&#1097;&#1072;&#1103;\&#1048;&#1083;&#1100;&#1103;&#1089;&#1086;&#1074;&#1072;\&#1045;&#1078;&#1077;&#1082;&#1074;&#1072;&#1088;&#1090;&#1072;&#1083;&#1100;&#1085;&#1099;&#1077;%20&#1086;&#1090;&#1095;&#1077;&#1090;&#1099;\2018%20&#1075;&#1086;&#1076;\&#1045;&#1078;&#1077;&#1082;&#1074;&#1072;&#1088;&#1090;&#1072;&#1083;&#1100;&#1085;&#1099;&#1081;%20&#1086;&#1090;&#1095;&#1077;&#1090;%20&#1079;&#1072;%204%20&#1082;&#1074;.%202018%20&#1075;\4%20&#1082;&#1074;&#1072;&#1088;&#1090;&#1072;&#1083;%202018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srv2\&#1086;&#1073;&#1084;&#1077;&#1085;&#1085;&#1080;&#1082;\&#1054;&#1090;&#1076;&#1077;&#1083;%20&#1086;&#1073;&#1097;&#1077;&#1075;&#1086;%20&#1086;&#1073;&#1077;&#1089;&#1087;&#1077;&#1095;&#1077;&#1085;&#1080;&#1103;\&#1054;&#1073;&#1097;&#1072;&#1103;\&#1048;&#1083;&#1100;&#1103;&#1089;&#1086;&#1074;&#1072;\&#1045;&#1078;&#1077;&#1082;&#1074;&#1072;&#1088;&#1090;&#1072;&#1083;&#1100;&#1085;&#1099;&#1077;%20&#1086;&#1090;&#1095;&#1077;&#1090;&#1099;\2018%20&#1075;&#1086;&#1076;\&#1045;&#1078;&#1077;&#1082;&#1074;&#1072;&#1088;&#1090;&#1072;&#1083;&#1100;&#1085;&#1099;&#1081;%20&#1086;&#1090;&#1095;&#1077;&#1090;%20&#1079;&#1072;%204%20&#1082;&#1074;.%202018%20&#1075;\4%20&#1082;&#1074;&#1072;&#1088;&#1090;&#1072;&#1083;%202018&#1075;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Лист1!$A$31:$A$43</c:f>
              <c:strCache>
                <c:ptCount val="13"/>
                <c:pt idx="0">
                  <c:v>От автора</c:v>
                </c:pt>
                <c:pt idx="1">
                  <c:v>АГРК и ПРК</c:v>
                </c:pt>
                <c:pt idx="2">
                  <c:v>Государственный Совет РК</c:v>
                </c:pt>
                <c:pt idx="3">
                  <c:v>Администрация сп "Выльгорт"</c:v>
                </c:pt>
                <c:pt idx="4">
                  <c:v>Администрация сп "Зеленец"</c:v>
                </c:pt>
                <c:pt idx="5">
                  <c:v>Администрация сп "Пажга"</c:v>
                </c:pt>
                <c:pt idx="6">
                  <c:v>Прокуратура Сыктывдинского района</c:v>
                </c:pt>
                <c:pt idx="7">
                  <c:v>Минстрой РК</c:v>
                </c:pt>
                <c:pt idx="8">
                  <c:v>Прокуратура РК</c:v>
                </c:pt>
                <c:pt idx="9">
                  <c:v>Гос.жилищная инспекция в Сыктывдинском районе</c:v>
                </c:pt>
                <c:pt idx="10">
                  <c:v>Министерство инвестиций, промышленности и транспорта РК</c:v>
                </c:pt>
                <c:pt idx="11">
                  <c:v>Министерство энергетики, жилищно-коммунального хозяйства и тарифов РК</c:v>
                </c:pt>
                <c:pt idx="12">
                  <c:v>Прочие</c:v>
                </c:pt>
              </c:strCache>
            </c:strRef>
          </c:cat>
          <c:val>
            <c:numRef>
              <c:f>Лист1!$B$31:$B$43</c:f>
              <c:numCache>
                <c:formatCode>General</c:formatCode>
                <c:ptCount val="13"/>
                <c:pt idx="0">
                  <c:v>300</c:v>
                </c:pt>
                <c:pt idx="1">
                  <c:v>38</c:v>
                </c:pt>
                <c:pt idx="2">
                  <c:v>2</c:v>
                </c:pt>
                <c:pt idx="3">
                  <c:v>7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9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7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200320"/>
        <c:axId val="98686080"/>
      </c:barChart>
      <c:catAx>
        <c:axId val="9220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686080"/>
        <c:crosses val="autoZero"/>
        <c:auto val="1"/>
        <c:lblAlgn val="ctr"/>
        <c:lblOffset val="100"/>
        <c:noMultiLvlLbl val="0"/>
      </c:catAx>
      <c:valAx>
        <c:axId val="98686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2200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Лист1!$A$302:$A$304</c:f>
              <c:strCache>
                <c:ptCount val="3"/>
                <c:pt idx="0">
                  <c:v>Доронина Л.Ю.</c:v>
                </c:pt>
                <c:pt idx="1">
                  <c:v>Долингер Н.В.</c:v>
                </c:pt>
                <c:pt idx="2">
                  <c:v>Носов В.Ю.</c:v>
                </c:pt>
              </c:strCache>
            </c:strRef>
          </c:cat>
          <c:val>
            <c:numRef>
              <c:f>Лист1!$B$302:$B$304</c:f>
              <c:numCache>
                <c:formatCode>General</c:formatCode>
                <c:ptCount val="3"/>
                <c:pt idx="0">
                  <c:v>34</c:v>
                </c:pt>
                <c:pt idx="1">
                  <c:v>39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2987751531059"/>
          <c:y val="0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Лист1!$A$1:$A$17</c:f>
              <c:strCache>
                <c:ptCount val="17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Обследование жилого фонда на предмет пригодности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социальной помощи</c:v>
                </c:pt>
                <c:pt idx="9">
                  <c:v>Выполнение работ по капитальному ремонту</c:v>
                </c:pt>
                <c:pt idx="10">
                  <c:v>Транспортное обслуживание населения</c:v>
                </c:pt>
                <c:pt idx="11">
                  <c:v>Газификация</c:v>
                </c:pt>
                <c:pt idx="12">
                  <c:v>Гумманное отношение к животным</c:v>
                </c:pt>
                <c:pt idx="13">
                  <c:v>Вопросы образования</c:v>
                </c:pt>
                <c:pt idx="14">
                  <c:v>Охрана и защита лесов</c:v>
                </c:pt>
                <c:pt idx="15">
                  <c:v>Строительные недоделки</c:v>
                </c:pt>
                <c:pt idx="16">
                  <c:v>Прочие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70</c:v>
                </c:pt>
                <c:pt idx="1">
                  <c:v>19</c:v>
                </c:pt>
                <c:pt idx="2">
                  <c:v>33</c:v>
                </c:pt>
                <c:pt idx="3">
                  <c:v>37</c:v>
                </c:pt>
                <c:pt idx="4">
                  <c:v>58</c:v>
                </c:pt>
                <c:pt idx="5">
                  <c:v>6</c:v>
                </c:pt>
                <c:pt idx="6">
                  <c:v>8</c:v>
                </c:pt>
                <c:pt idx="7">
                  <c:v>19</c:v>
                </c:pt>
                <c:pt idx="8">
                  <c:v>3</c:v>
                </c:pt>
                <c:pt idx="9">
                  <c:v>3</c:v>
                </c:pt>
                <c:pt idx="10">
                  <c:v>11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61927183549173"/>
          <c:y val="2.4538988084235953E-2"/>
          <c:w val="0.32082921041970408"/>
          <c:h val="0.9652127771000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Лист1!$A$73:$A$85</c:f>
              <c:strCache>
                <c:ptCount val="13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Палевицы</c:v>
                </c:pt>
                <c:pt idx="5">
                  <c:v>Нювчим</c:v>
                </c:pt>
                <c:pt idx="6">
                  <c:v>Часово</c:v>
                </c:pt>
                <c:pt idx="7">
                  <c:v>Шошка</c:v>
                </c:pt>
                <c:pt idx="8">
                  <c:v>Лэзым</c:v>
                </c:pt>
                <c:pt idx="9">
                  <c:v>Яснэг</c:v>
                </c:pt>
                <c:pt idx="10">
                  <c:v>Мандач</c:v>
                </c:pt>
                <c:pt idx="11">
                  <c:v>озел</c:v>
                </c:pt>
                <c:pt idx="12">
                  <c:v>слудка</c:v>
                </c:pt>
              </c:strCache>
            </c:strRef>
          </c:cat>
          <c:val>
            <c:numRef>
              <c:f>Лист1!$B$73:$B$85</c:f>
              <c:numCache>
                <c:formatCode>General</c:formatCode>
                <c:ptCount val="13"/>
                <c:pt idx="0">
                  <c:v>98</c:v>
                </c:pt>
                <c:pt idx="1">
                  <c:v>22</c:v>
                </c:pt>
                <c:pt idx="2">
                  <c:v>18</c:v>
                </c:pt>
                <c:pt idx="3">
                  <c:v>22</c:v>
                </c:pt>
                <c:pt idx="4">
                  <c:v>9</c:v>
                </c:pt>
                <c:pt idx="5">
                  <c:v>4</c:v>
                </c:pt>
                <c:pt idx="6">
                  <c:v>10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5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337718967237716"/>
          <c:y val="2.8774050122559645E-2"/>
          <c:w val="0.16064836943305411"/>
          <c:h val="0.9628517365561862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Лист1!$A$100:$A$111</c:f>
              <c:strCache>
                <c:ptCount val="12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  <c:pt idx="5">
                  <c:v>выполнение работ по капитальному ремонту</c:v>
                </c:pt>
                <c:pt idx="6">
                  <c:v>транспортное обслуживание населения</c:v>
                </c:pt>
                <c:pt idx="7">
                  <c:v>оказание социальной помощи</c:v>
                </c:pt>
                <c:pt idx="8">
                  <c:v>вопросы переселения</c:v>
                </c:pt>
                <c:pt idx="9">
                  <c:v>вопросы образования</c:v>
                </c:pt>
                <c:pt idx="10">
                  <c:v>обследование жилого фонда на предмет пригодности</c:v>
                </c:pt>
                <c:pt idx="11">
                  <c:v>строительные недоделки</c:v>
                </c:pt>
              </c:strCache>
            </c:strRef>
          </c:cat>
          <c:val>
            <c:numRef>
              <c:f>Лист1!$B$100:$B$111</c:f>
              <c:numCache>
                <c:formatCode>General</c:formatCode>
                <c:ptCount val="12"/>
                <c:pt idx="0">
                  <c:v>19</c:v>
                </c:pt>
                <c:pt idx="1">
                  <c:v>11</c:v>
                </c:pt>
                <c:pt idx="2">
                  <c:v>30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11</c:v>
                </c:pt>
                <c:pt idx="7">
                  <c:v>4</c:v>
                </c:pt>
                <c:pt idx="8">
                  <c:v>8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92374727668841"/>
          <c:y val="2.2466535433070867E-2"/>
          <c:w val="0.36873638344226578"/>
          <c:h val="0.9550669291338582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Лист1!$A$114:$A$120</c:f>
              <c:strCache>
                <c:ptCount val="7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вопросы строительства</c:v>
                </c:pt>
                <c:pt idx="3">
                  <c:v>вопросы переселения</c:v>
                </c:pt>
                <c:pt idx="4">
                  <c:v>вопросы благоустройства</c:v>
                </c:pt>
                <c:pt idx="5">
                  <c:v>транспортное обслуживание населения</c:v>
                </c:pt>
                <c:pt idx="6">
                  <c:v>оказание социальной помощи</c:v>
                </c:pt>
              </c:strCache>
            </c:strRef>
          </c:cat>
          <c:val>
            <c:numRef>
              <c:f>Лист1!$B$114:$B$120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Лист1!$A$124:$A$129</c:f>
              <c:strCache>
                <c:ptCount val="6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вопросы переселения</c:v>
                </c:pt>
                <c:pt idx="4">
                  <c:v>транспортное обслуживание населения</c:v>
                </c:pt>
                <c:pt idx="5">
                  <c:v>гуманное отношение к животным</c:v>
                </c:pt>
              </c:strCache>
            </c:strRef>
          </c:cat>
          <c:val>
            <c:numRef>
              <c:f>Лист1!$B$124:$B$129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Лист1!$A$149:$A$152</c:f>
              <c:strCache>
                <c:ptCount val="4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транспортное обслуживание населения</c:v>
                </c:pt>
                <c:pt idx="3">
                  <c:v>вопросы переселения</c:v>
                </c:pt>
              </c:strCache>
            </c:strRef>
          </c:cat>
          <c:val>
            <c:numRef>
              <c:f>Лист1!$B$149:$B$152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978342111209609"/>
          <c:y val="3.0565669507583441E-2"/>
          <c:w val="0.3209009055987207"/>
          <c:h val="0.870210919824517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Лист1!$A$185:$A$189</c:f>
              <c:strCache>
                <c:ptCount val="5"/>
                <c:pt idx="0">
                  <c:v>вопросы землепользования</c:v>
                </c:pt>
                <c:pt idx="1">
                  <c:v>строительные недоделки</c:v>
                </c:pt>
                <c:pt idx="2">
                  <c:v>жилищные вопросы</c:v>
                </c:pt>
                <c:pt idx="3">
                  <c:v>оказание социальной помощи</c:v>
                </c:pt>
                <c:pt idx="4">
                  <c:v>гуманное отношение к животным</c:v>
                </c:pt>
              </c:strCache>
            </c:strRef>
          </c:cat>
          <c:val>
            <c:numRef>
              <c:f>Лист1!$B$185:$B$189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Лист1!$A$218:$A$221</c:f>
              <c:strCache>
                <c:ptCount val="4"/>
                <c:pt idx="0">
                  <c:v>транспортное обслуживание</c:v>
                </c:pt>
                <c:pt idx="1">
                  <c:v>вопросы землепользования</c:v>
                </c:pt>
                <c:pt idx="2">
                  <c:v>жилищные вопросы</c:v>
                </c:pt>
                <c:pt idx="3">
                  <c:v>вопросы благоустройства</c:v>
                </c:pt>
              </c:strCache>
            </c:strRef>
          </c:cat>
          <c:val>
            <c:numRef>
              <c:f>Лист1!$B$218:$B$221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7011-ABCA-4333-85E5-1766FA23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160</cp:revision>
  <cp:lastPrinted>2019-01-21T11:37:00Z</cp:lastPrinted>
  <dcterms:created xsi:type="dcterms:W3CDTF">2017-07-13T04:41:00Z</dcterms:created>
  <dcterms:modified xsi:type="dcterms:W3CDTF">2019-01-22T10:08:00Z</dcterms:modified>
</cp:coreProperties>
</file>