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4" w:rsidRPr="0033528C" w:rsidRDefault="00842140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0E1A93" w:rsidRDefault="000E1A93" w:rsidP="000E1A93">
      <w:r>
        <w:tab/>
      </w:r>
      <w:r>
        <w:tab/>
      </w:r>
      <w:r>
        <w:tab/>
      </w:r>
      <w:r>
        <w:tab/>
      </w:r>
    </w:p>
    <w:p w:rsidR="000E1A93" w:rsidRDefault="000E1A93" w:rsidP="000E1A93">
      <w:pPr>
        <w:jc w:val="center"/>
        <w:outlineLvl w:val="0"/>
        <w:rPr>
          <w:b/>
        </w:rPr>
      </w:pPr>
      <w:r>
        <w:rPr>
          <w:b/>
        </w:rPr>
        <w:t xml:space="preserve">Пояснительная записка </w:t>
      </w:r>
    </w:p>
    <w:p w:rsidR="000E1A93" w:rsidRDefault="000E1A93" w:rsidP="000E1A93">
      <w:pPr>
        <w:jc w:val="center"/>
        <w:outlineLvl w:val="0"/>
        <w:rPr>
          <w:b/>
        </w:rPr>
      </w:pPr>
      <w:r>
        <w:rPr>
          <w:b/>
        </w:rPr>
        <w:t xml:space="preserve">к проекту решения Совета 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>муниципального образования муниципального района «Сыктывдинский»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 xml:space="preserve">«О бюджете муниципального района «Сыктывдинский» 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>на 201</w:t>
      </w:r>
      <w:r w:rsidR="00FC2AE1">
        <w:rPr>
          <w:b/>
        </w:rPr>
        <w:t>9</w:t>
      </w:r>
      <w:r>
        <w:rPr>
          <w:b/>
        </w:rPr>
        <w:t xml:space="preserve"> годи плановый период 20</w:t>
      </w:r>
      <w:r w:rsidR="00FC2AE1">
        <w:rPr>
          <w:b/>
        </w:rPr>
        <w:t>20</w:t>
      </w:r>
      <w:r>
        <w:rPr>
          <w:b/>
        </w:rPr>
        <w:t>-202</w:t>
      </w:r>
      <w:r w:rsidR="00FC2AE1">
        <w:rPr>
          <w:b/>
        </w:rPr>
        <w:t>1</w:t>
      </w:r>
      <w:r>
        <w:rPr>
          <w:b/>
        </w:rPr>
        <w:t xml:space="preserve"> гг.</w:t>
      </w:r>
    </w:p>
    <w:p w:rsidR="000E1A93" w:rsidRDefault="000E1A93" w:rsidP="000E1A93">
      <w:pPr>
        <w:jc w:val="center"/>
        <w:rPr>
          <w:b/>
        </w:rPr>
      </w:pP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highlight w:val="yellow"/>
        </w:rPr>
      </w:pPr>
      <w:proofErr w:type="gramStart"/>
      <w:r>
        <w:rPr>
          <w:b w:val="0"/>
          <w:sz w:val="24"/>
          <w:szCs w:val="24"/>
        </w:rPr>
        <w:t>Проект решения Совета муниципального образования муниципального района «Сыктывдинский» «О бюджете муниципального района «Сыктывдинский» на 201</w:t>
      </w:r>
      <w:r w:rsidR="00DD5E1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 и  плановый период  20</w:t>
      </w:r>
      <w:r w:rsidR="00DD5E15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-202</w:t>
      </w:r>
      <w:r w:rsidR="00DD5E1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годов» (далее – проект бюджета) разработан в соответствии с Положением о бюджетном процессе в муниципальном образовании муниципального района «Сыктывдинский», утвержденным решением Совета муниципального образования муниципального района «Сыктывдинский» от 10 апреля 2008 года N 11/4-27, постановлением администрации муниципального района «Сыктывдинский» от</w:t>
      </w:r>
      <w:proofErr w:type="gramEnd"/>
      <w:r>
        <w:rPr>
          <w:b w:val="0"/>
          <w:sz w:val="24"/>
          <w:szCs w:val="24"/>
        </w:rPr>
        <w:t xml:space="preserve"> 23 июня 2015 года № 6/1076 «О Порядке составления проекта бюджета МО МР «Сыктывдинский» на очередной финансовый год и плановый период»  на основе:</w:t>
      </w:r>
    </w:p>
    <w:p w:rsidR="000E1A93" w:rsidRDefault="000E1A93" w:rsidP="000E1A93">
      <w:pPr>
        <w:ind w:firstLine="709"/>
        <w:jc w:val="both"/>
      </w:pPr>
      <w:r>
        <w:t>Стратегии социально-экономического развития муниципального образования муниципального района «Сыктывдинский» на период до 2020 года  разработанной во исполнение постановления администрации  МО МР «Сыктывдинский» от 05.02.2014 № 2/194 «О разработке Стратегии»;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Прогноза социально-экономического развития МО МР «Сыктывдинский» на 201</w:t>
      </w:r>
      <w:r w:rsidR="00DA4C0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 и на период до 202</w:t>
      </w:r>
      <w:r w:rsidR="00385932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года;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Основных направлений бюджетной политики и налоговой политики муниципального образования муниципального района «Сыктывдинский» на 201</w:t>
      </w:r>
      <w:r w:rsidR="009E01C3">
        <w:rPr>
          <w:b w:val="0"/>
          <w:sz w:val="24"/>
          <w:szCs w:val="24"/>
        </w:rPr>
        <w:t>9 год и плановый период 2020</w:t>
      </w:r>
      <w:r>
        <w:rPr>
          <w:b w:val="0"/>
          <w:sz w:val="24"/>
          <w:szCs w:val="24"/>
        </w:rPr>
        <w:t xml:space="preserve"> и 202</w:t>
      </w:r>
      <w:r w:rsidR="009E01C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годов;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оздоровления муниципальных финансов (оптимизация расходов) МО МР «Сыктывдинский» на период 2017-2019 годов;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программ МО МР «Сыктывдинский».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highlight w:val="red"/>
        </w:rPr>
      </w:pPr>
    </w:p>
    <w:p w:rsidR="00377A02" w:rsidRDefault="00377A02" w:rsidP="000E1A93">
      <w:pPr>
        <w:ind w:firstLine="709"/>
        <w:jc w:val="center"/>
        <w:outlineLvl w:val="0"/>
        <w:rPr>
          <w:b/>
        </w:rPr>
      </w:pPr>
    </w:p>
    <w:p w:rsidR="000E1A93" w:rsidRDefault="000E1A93" w:rsidP="000E1A93">
      <w:pPr>
        <w:ind w:firstLine="709"/>
        <w:jc w:val="center"/>
        <w:outlineLvl w:val="0"/>
        <w:rPr>
          <w:b/>
        </w:rPr>
      </w:pPr>
      <w:r>
        <w:rPr>
          <w:b/>
        </w:rPr>
        <w:t>ДОХОДЫ</w:t>
      </w:r>
    </w:p>
    <w:p w:rsidR="00377A02" w:rsidRDefault="00377A02" w:rsidP="000E1A93">
      <w:pPr>
        <w:ind w:firstLine="709"/>
        <w:jc w:val="center"/>
        <w:outlineLvl w:val="0"/>
        <w:rPr>
          <w:b/>
        </w:rPr>
      </w:pPr>
    </w:p>
    <w:p w:rsidR="00377A02" w:rsidRDefault="00377A02" w:rsidP="00377A02">
      <w:pPr>
        <w:ind w:firstLine="709"/>
        <w:jc w:val="both"/>
        <w:rPr>
          <w:color w:val="FF0000"/>
        </w:rPr>
      </w:pPr>
      <w:r>
        <w:t xml:space="preserve">Формирование проекта бюджета муниципального района «Сыктывдинский» по налоговым и неналоговым доходам на 2018 год и плановый период 2019 и 2020 годов </w:t>
      </w:r>
      <w:proofErr w:type="gramStart"/>
      <w:r>
        <w:t>осуществлялось в соответствии с требованиями Бюджетного и Налогового кодексов Российской Федерации на основе прогноза социально-экономического развития на 2019 год и на период до 2024 года (постановление администрации МО МР «Сыктывдинский» от 27 августа 2018 года № 8/764.</w:t>
      </w:r>
      <w:proofErr w:type="gramEnd"/>
    </w:p>
    <w:p w:rsidR="00377A02" w:rsidRDefault="00377A02" w:rsidP="00377A02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Расчет прогноза поступлений налоговых и неналоговых доходов бюджета муниципального района осуществлен на основе </w:t>
      </w:r>
      <w:proofErr w:type="gramStart"/>
      <w:r>
        <w:rPr>
          <w:b w:val="0"/>
          <w:sz w:val="24"/>
          <w:szCs w:val="24"/>
        </w:rPr>
        <w:t>показателей главных администраторов дохода бюджета муниципального района</w:t>
      </w:r>
      <w:proofErr w:type="gramEnd"/>
      <w:r>
        <w:rPr>
          <w:b w:val="0"/>
          <w:sz w:val="24"/>
          <w:szCs w:val="24"/>
        </w:rPr>
        <w:t xml:space="preserve"> на очередной финансовый год и плановый период, исходя из гарантированного поступления средств по итогам исполнения за 9 месяцев текущего года.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прогнозировании доходов муниципального района учитывались изменения, внесенные в законодательство Республики Коми, вступившие в силу с 01 января 2019 года, а именно: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</w:rPr>
      </w:pPr>
    </w:p>
    <w:p w:rsidR="00377A02" w:rsidRDefault="00377A02" w:rsidP="00377A02">
      <w:pPr>
        <w:pStyle w:val="2"/>
        <w:numPr>
          <w:ilvl w:val="0"/>
          <w:numId w:val="9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изменение с 01 января 2019 года порядка зачисления НДФЛ в бюджет муниципального района, </w:t>
      </w:r>
      <w:r>
        <w:rPr>
          <w:sz w:val="24"/>
          <w:szCs w:val="24"/>
        </w:rPr>
        <w:t>в части перераспределения дополнительных нормативов и передачей в 2019 году – 13,0 % на уровень бюджета муниципального района с уровня Республики Коми (+ 55,6 млн. руб.):</w:t>
      </w:r>
    </w:p>
    <w:p w:rsidR="00377A02" w:rsidRDefault="00377A02" w:rsidP="00377A02">
      <w:pPr>
        <w:pStyle w:val="2"/>
        <w:ind w:left="1429"/>
        <w:rPr>
          <w:b w:val="0"/>
          <w:color w:val="FF0000"/>
          <w:sz w:val="24"/>
          <w:szCs w:val="24"/>
          <w:highlight w:val="red"/>
        </w:rPr>
      </w:pPr>
    </w:p>
    <w:p w:rsidR="00377A02" w:rsidRDefault="00377A02" w:rsidP="00377A02">
      <w:pPr>
        <w:pStyle w:val="2"/>
        <w:ind w:left="1429"/>
        <w:rPr>
          <w:b w:val="0"/>
          <w:color w:val="FF0000"/>
          <w:sz w:val="24"/>
          <w:szCs w:val="24"/>
          <w:highlight w:val="red"/>
        </w:rPr>
      </w:pPr>
    </w:p>
    <w:tbl>
      <w:tblPr>
        <w:tblStyle w:val="a3"/>
        <w:tblW w:w="9850" w:type="dxa"/>
        <w:tblInd w:w="108" w:type="dxa"/>
        <w:tblLook w:val="04A0" w:firstRow="1" w:lastRow="0" w:firstColumn="1" w:lastColumn="0" w:noHBand="0" w:noVBand="1"/>
      </w:tblPr>
      <w:tblGrid>
        <w:gridCol w:w="436"/>
        <w:gridCol w:w="2825"/>
        <w:gridCol w:w="1372"/>
        <w:gridCol w:w="1604"/>
        <w:gridCol w:w="1846"/>
        <w:gridCol w:w="1767"/>
      </w:tblGrid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</w:p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 распределения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РК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МР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СП</w:t>
            </w:r>
          </w:p>
        </w:tc>
      </w:tr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2017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33,5 %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63,2 %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3,3%</w:t>
            </w:r>
          </w:p>
        </w:tc>
      </w:tr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2018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35,0 %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61,7 %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3,3%</w:t>
            </w:r>
          </w:p>
        </w:tc>
      </w:tr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22,0 %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74,7 %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3,3%</w:t>
            </w:r>
          </w:p>
        </w:tc>
      </w:tr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Отклонение (стр.3 – стр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2</w:t>
            </w:r>
            <w:proofErr w:type="gramEnd"/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-13,0 %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+ 13,0 %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</w:t>
            </w:r>
          </w:p>
        </w:tc>
      </w:tr>
      <w:tr w:rsidR="00377A02" w:rsidTr="00377A0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уб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- 55 604,6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+ 55 604,6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77A02" w:rsidRDefault="00377A02" w:rsidP="00377A02">
      <w:pPr>
        <w:pStyle w:val="2"/>
        <w:ind w:left="1429"/>
        <w:rPr>
          <w:b w:val="0"/>
          <w:color w:val="FF0000"/>
          <w:sz w:val="24"/>
          <w:szCs w:val="24"/>
          <w:highlight w:val="red"/>
        </w:rPr>
      </w:pPr>
    </w:p>
    <w:p w:rsidR="00377A02" w:rsidRDefault="00377A02" w:rsidP="00377A02">
      <w:pPr>
        <w:pStyle w:val="2"/>
        <w:ind w:left="1429"/>
        <w:rPr>
          <w:b w:val="0"/>
          <w:color w:val="FF0000"/>
          <w:sz w:val="24"/>
          <w:szCs w:val="24"/>
        </w:rPr>
      </w:pPr>
    </w:p>
    <w:p w:rsidR="00377A02" w:rsidRDefault="00377A02" w:rsidP="00377A02">
      <w:pPr>
        <w:pStyle w:val="2"/>
        <w:ind w:firstLine="709"/>
        <w:rPr>
          <w:b w:val="0"/>
          <w:bCs/>
          <w:color w:val="FF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Налоговые и неналоговые доходы бюджета муниципального района на 2019 год спрогнозированы в сумме 410 232,4 тыс. руб., на 2020 год- 374 816,5 тыс. руб., на 2021 год – 363 403,5</w:t>
      </w:r>
      <w:r>
        <w:rPr>
          <w:b w:val="0"/>
          <w:bCs/>
          <w:sz w:val="24"/>
          <w:szCs w:val="24"/>
        </w:rPr>
        <w:t xml:space="preserve"> тыс. руб. Рост поступлений в 2019 гожу к уровню предыдущего года составляет 31,4 %, в 2020 -2021 году снижение 8,6 % и 3,0 % соответственно.</w:t>
      </w:r>
      <w:proofErr w:type="gramEnd"/>
    </w:p>
    <w:p w:rsidR="00377A02" w:rsidRDefault="00377A02" w:rsidP="00377A02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Основным </w:t>
      </w:r>
      <w:proofErr w:type="spellStart"/>
      <w:r>
        <w:rPr>
          <w:b w:val="0"/>
          <w:bCs/>
          <w:sz w:val="24"/>
          <w:szCs w:val="24"/>
        </w:rPr>
        <w:t>бюджетообразующим</w:t>
      </w:r>
      <w:proofErr w:type="spellEnd"/>
      <w:r>
        <w:rPr>
          <w:b w:val="0"/>
          <w:bCs/>
          <w:sz w:val="24"/>
          <w:szCs w:val="24"/>
        </w:rPr>
        <w:t xml:space="preserve"> доходным источником в 2019 году, как и в предыдущие годы, остается налог на доходы физических лиц, который формирует 77,9 % от общего объема налоговых и неналоговых доходов бюджета муниципального района «Сыктывдинский».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Прогноз поступлений по основным видам доходов приведен в таблице 1-2: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702"/>
        <w:gridCol w:w="1702"/>
        <w:gridCol w:w="1165"/>
      </w:tblGrid>
      <w:tr w:rsidR="00377A02" w:rsidTr="00377A02">
        <w:trPr>
          <w:trHeight w:val="315"/>
          <w:tblHeader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01.10.2018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jc w:val="center"/>
              <w:rPr>
                <w:b/>
                <w:bCs/>
              </w:rPr>
            </w:pPr>
          </w:p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  <w:r>
              <w:rPr>
                <w:b/>
                <w:bCs/>
                <w:sz w:val="18"/>
                <w:szCs w:val="18"/>
              </w:rPr>
              <w:t>(гр.3-гр.2)</w:t>
            </w:r>
            <w:r>
              <w:rPr>
                <w:b/>
                <w:bCs/>
              </w:rPr>
              <w:t xml:space="preserve"> </w:t>
            </w:r>
          </w:p>
        </w:tc>
      </w:tr>
      <w:tr w:rsidR="00377A02" w:rsidTr="00377A02">
        <w:trPr>
          <w:trHeight w:val="2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77A02" w:rsidTr="00377A02">
        <w:trPr>
          <w:trHeight w:val="6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312 293,3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410 232,4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97 939,1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287 515,3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 xml:space="preserve">     386 824,4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99 309,1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 xml:space="preserve"> в т.ч.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232 416,8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highlight w:val="red"/>
              </w:rPr>
            </w:pPr>
            <w:r>
              <w:t xml:space="preserve">   319 512,3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87 095,5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18 270,5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18 377,4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106,9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33 328,0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45 284,7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11 956,7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3 650,0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150,0</w:t>
            </w:r>
          </w:p>
        </w:tc>
      </w:tr>
      <w:tr w:rsidR="00377A02" w:rsidTr="00377A0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rPr>
                <w:b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tabs>
                <w:tab w:val="left" w:pos="180"/>
                <w:tab w:val="center" w:pos="74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24 778,0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jc w:val="center"/>
              <w:rPr>
                <w:b/>
                <w:i/>
                <w:color w:val="FF0000"/>
                <w:highlight w:val="red"/>
              </w:rPr>
            </w:pPr>
            <w:r>
              <w:rPr>
                <w:b/>
                <w:i/>
              </w:rPr>
              <w:t>23 408,0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- 1 370,0</w:t>
            </w:r>
          </w:p>
        </w:tc>
      </w:tr>
    </w:tbl>
    <w:p w:rsidR="00377A02" w:rsidRDefault="00377A02" w:rsidP="00377A02">
      <w:pPr>
        <w:jc w:val="both"/>
        <w:rPr>
          <w:color w:val="FF0000"/>
        </w:rPr>
      </w:pPr>
    </w:p>
    <w:p w:rsidR="00377A02" w:rsidRDefault="00377A02" w:rsidP="00377A02">
      <w:pPr>
        <w:pStyle w:val="2"/>
        <w:ind w:firstLine="567"/>
        <w:rPr>
          <w:b w:val="0"/>
          <w:color w:val="FF0000"/>
          <w:sz w:val="24"/>
          <w:szCs w:val="24"/>
          <w:highlight w:val="red"/>
        </w:rPr>
      </w:pP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2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1277"/>
        <w:gridCol w:w="1416"/>
        <w:gridCol w:w="1277"/>
        <w:gridCol w:w="1416"/>
      </w:tblGrid>
      <w:tr w:rsidR="00377A02" w:rsidTr="00377A02">
        <w:trPr>
          <w:trHeight w:val="315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к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  <w:r>
              <w:rPr>
                <w:b/>
                <w:bCs/>
                <w:sz w:val="18"/>
                <w:szCs w:val="18"/>
              </w:rPr>
              <w:t>(гр.4-гр.2)</w:t>
            </w:r>
          </w:p>
        </w:tc>
      </w:tr>
      <w:tr w:rsidR="00377A02" w:rsidTr="00377A02">
        <w:trPr>
          <w:trHeight w:val="30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77A02" w:rsidTr="00377A02">
        <w:trPr>
          <w:trHeight w:val="63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- 35 415,9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363 403,5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-11 413,0</w:t>
            </w:r>
          </w:p>
        </w:tc>
      </w:tr>
      <w:tr w:rsidR="00377A02" w:rsidTr="00377A02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354 744,8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- 32 079,6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350 467,6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-4 277,2</w:t>
            </w:r>
          </w:p>
        </w:tc>
      </w:tr>
      <w:tr w:rsidR="00377A02" w:rsidTr="00377A02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 xml:space="preserve"> в т.ч. 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287 432,7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- 32 079,6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283 155,5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-4 277,2</w:t>
            </w:r>
          </w:p>
        </w:tc>
      </w:tr>
      <w:tr w:rsidR="00377A02" w:rsidTr="00377A02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Акцизы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18 377,4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18 377,4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7A02" w:rsidTr="00377A02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45 284,7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45 284,7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7A02" w:rsidTr="00377A02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3 650,0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ind w:left="176" w:right="-250" w:hanging="176"/>
              <w:rPr>
                <w:bCs/>
              </w:rPr>
            </w:pPr>
            <w:r>
              <w:rPr>
                <w:bCs/>
              </w:rPr>
              <w:t xml:space="preserve">    3 650,0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7A02" w:rsidTr="00377A02">
        <w:trPr>
          <w:trHeight w:val="3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rPr>
                <w:b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20 071,7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- 3 336,3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  <w:rPr>
                <w:b/>
                <w:i/>
                <w:color w:val="FF0000"/>
                <w:highlight w:val="red"/>
              </w:rPr>
            </w:pPr>
            <w:r>
              <w:rPr>
                <w:b/>
                <w:i/>
              </w:rPr>
              <w:t>12 935,9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- 7 135,8</w:t>
            </w:r>
          </w:p>
        </w:tc>
      </w:tr>
    </w:tbl>
    <w:p w:rsidR="00377A02" w:rsidRDefault="00377A02" w:rsidP="00377A02">
      <w:pPr>
        <w:pStyle w:val="2"/>
        <w:ind w:firstLine="709"/>
        <w:rPr>
          <w:b w:val="0"/>
          <w:color w:val="FF0000"/>
          <w:sz w:val="24"/>
          <w:szCs w:val="24"/>
          <w:shd w:val="clear" w:color="auto" w:fill="FFFFFF"/>
        </w:rPr>
      </w:pP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lastRenderedPageBreak/>
        <w:t>На 2019 год  объем НДФЛ прогнозируется в объеме  319 512,3 тыс. руб. (с ростом 37,5 % к 2018 году), на 2020 год – 287 432,7 тыс. руб. (со снижением 10,0 % к 2019 году), на 2021 год – 283 155,5 тыс. руб. (со снижением 1,5 % к 2020 году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b w:val="0"/>
          <w:sz w:val="24"/>
          <w:szCs w:val="24"/>
          <w:shd w:val="clear" w:color="auto" w:fill="FFFFFF"/>
        </w:rPr>
        <w:t>.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Прогноз поступления налогов на совокупный доход на 2019 год планируется в объеме 45 284,7,0 тыс. руб. (с ростом 35,9 % к 2018 году), на 2020 -2021 годы запланировано по 45 284,7 ежегодно.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На 2019 - 2021 годы поступления по государственной пошлине прогнозируются в объеме 3 650,0 тыс. руб. ежегодно с ростом на 4,3 % к ожидаемой оценке 2018 года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Неналоговые доходы бюджета муниципального района на 2019-2021 годы запланированы на основании сведений, представленных главными администраторами поступлений.</w:t>
      </w: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Прогнозируемый объем неналоговых доходов на 2019 год составил 23 408,0 тыс. руб., на 2020 год – 20 071,1 тыс. руб., на 2021 год – 12 935,9 тыс. руб., в т.ч.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  </w:t>
      </w:r>
      <w:r>
        <w:rPr>
          <w:b w:val="0"/>
          <w:sz w:val="24"/>
          <w:szCs w:val="24"/>
        </w:rPr>
        <w:t>Таблица 3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  <w:gridCol w:w="1701"/>
        <w:gridCol w:w="1701"/>
        <w:gridCol w:w="1559"/>
      </w:tblGrid>
      <w:tr w:rsidR="00377A02" w:rsidTr="00377A02">
        <w:trPr>
          <w:trHeight w:val="315"/>
          <w:tblHeader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01.10.2018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2" w:rsidRDefault="00377A02">
            <w:pPr>
              <w:jc w:val="center"/>
              <w:rPr>
                <w:b/>
                <w:bCs/>
              </w:rPr>
            </w:pPr>
          </w:p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  <w:r>
              <w:rPr>
                <w:b/>
                <w:bCs/>
                <w:sz w:val="18"/>
                <w:szCs w:val="18"/>
              </w:rPr>
              <w:t>(гр.3-гр.2)</w:t>
            </w:r>
            <w:r>
              <w:rPr>
                <w:b/>
                <w:bCs/>
              </w:rPr>
              <w:t xml:space="preserve"> </w:t>
            </w:r>
          </w:p>
        </w:tc>
      </w:tr>
      <w:tr w:rsidR="00377A02" w:rsidTr="00377A02">
        <w:trPr>
          <w:trHeight w:val="2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77A02" w:rsidTr="00377A02">
        <w:trPr>
          <w:trHeight w:val="6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24 778,0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23 408,0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- 1 370,0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 xml:space="preserve"> 5 037,0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 xml:space="preserve">  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- 37,0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10 400,0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10 400,0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sz w:val="20"/>
                <w:szCs w:val="20"/>
              </w:rPr>
            </w:pP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Средства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-10,0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541,0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- 223,0</w:t>
            </w:r>
          </w:p>
        </w:tc>
      </w:tr>
      <w:tr w:rsidR="00377A02" w:rsidTr="00377A02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-600,0</w:t>
            </w:r>
          </w:p>
        </w:tc>
      </w:tr>
      <w:tr w:rsidR="00377A02" w:rsidTr="00377A0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r>
              <w:t>Продажа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tabs>
                <w:tab w:val="left" w:pos="180"/>
                <w:tab w:val="center" w:pos="742"/>
              </w:tabs>
              <w:jc w:val="center"/>
            </w:pPr>
            <w:r>
              <w:t>  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A02" w:rsidRDefault="00377A02">
            <w:pPr>
              <w:tabs>
                <w:tab w:val="left" w:pos="180"/>
                <w:tab w:val="center" w:pos="742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-600,0</w:t>
            </w:r>
          </w:p>
        </w:tc>
      </w:tr>
      <w:tr w:rsidR="00377A02" w:rsidTr="00377A0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tabs>
                <w:tab w:val="left" w:pos="180"/>
                <w:tab w:val="center" w:pos="742"/>
              </w:tabs>
              <w:jc w:val="center"/>
            </w:pPr>
            <w: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A02" w:rsidRDefault="00377A02">
            <w:pPr>
              <w:tabs>
                <w:tab w:val="left" w:pos="180"/>
                <w:tab w:val="center" w:pos="742"/>
              </w:tabs>
              <w:jc w:val="center"/>
            </w:pPr>
            <w:r>
              <w:t>3 600,0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100</w:t>
            </w:r>
          </w:p>
        </w:tc>
      </w:tr>
    </w:tbl>
    <w:p w:rsidR="00377A02" w:rsidRDefault="00377A02" w:rsidP="00377A02">
      <w:pPr>
        <w:pStyle w:val="2"/>
        <w:ind w:firstLine="567"/>
        <w:rPr>
          <w:b w:val="0"/>
          <w:color w:val="FF0000"/>
          <w:sz w:val="24"/>
          <w:szCs w:val="24"/>
          <w:highlight w:val="yellow"/>
        </w:rPr>
      </w:pP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4</w:t>
      </w:r>
    </w:p>
    <w:p w:rsidR="00377A02" w:rsidRDefault="00377A02" w:rsidP="00377A02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276"/>
        <w:gridCol w:w="1700"/>
        <w:gridCol w:w="1277"/>
        <w:gridCol w:w="1416"/>
      </w:tblGrid>
      <w:tr w:rsidR="00377A02" w:rsidTr="00377A02">
        <w:trPr>
          <w:trHeight w:val="315"/>
          <w:tblHeader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к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(</w:t>
            </w:r>
            <w:r>
              <w:rPr>
                <w:b/>
                <w:bCs/>
                <w:sz w:val="18"/>
                <w:szCs w:val="18"/>
              </w:rPr>
              <w:t>гр.4-гр.2)</w:t>
            </w:r>
          </w:p>
        </w:tc>
      </w:tr>
      <w:tr w:rsidR="00377A02" w:rsidTr="00377A02">
        <w:trPr>
          <w:trHeight w:val="30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77A02" w:rsidTr="00377A02">
        <w:trPr>
          <w:trHeight w:val="63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20 071,7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- 3 336,3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12 935,9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2" w:rsidRDefault="00377A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- 7 135,8</w:t>
            </w:r>
          </w:p>
        </w:tc>
      </w:tr>
      <w:tr w:rsidR="00377A02" w:rsidTr="00377A02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5 000,0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 xml:space="preserve">    0</w:t>
            </w:r>
          </w:p>
        </w:tc>
      </w:tr>
      <w:tr w:rsidR="00377A02" w:rsidTr="00377A02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7 250,0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- 3 150,0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 xml:space="preserve">  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</w:pPr>
            <w:r>
              <w:t>- 6 950,0</w:t>
            </w:r>
          </w:p>
        </w:tc>
      </w:tr>
      <w:tr w:rsidR="00377A02" w:rsidTr="00377A02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Средства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7A02" w:rsidTr="00377A02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331,7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345,9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14,2</w:t>
            </w:r>
          </w:p>
        </w:tc>
      </w:tr>
      <w:tr w:rsidR="00377A02" w:rsidTr="00377A02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rPr>
                <w:bCs/>
              </w:rPr>
            </w:pPr>
            <w:r>
              <w:rPr>
                <w:bCs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3 600,0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>-200,0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ind w:left="176" w:right="-250" w:hanging="176"/>
              <w:rPr>
                <w:bCs/>
              </w:rPr>
            </w:pPr>
            <w:r>
              <w:rPr>
                <w:bCs/>
              </w:rPr>
              <w:t xml:space="preserve">   3 400,0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2" w:rsidRDefault="00377A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-200,0</w:t>
            </w:r>
          </w:p>
        </w:tc>
      </w:tr>
      <w:tr w:rsidR="00377A02" w:rsidTr="00377A02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r>
              <w:t>Продажа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 xml:space="preserve">   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>0</w:t>
            </w:r>
          </w:p>
        </w:tc>
      </w:tr>
      <w:tr w:rsidR="00377A02" w:rsidTr="00377A02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A02" w:rsidRDefault="00377A02">
            <w:pPr>
              <w:jc w:val="center"/>
            </w:pPr>
            <w:r>
              <w:t>3 600,0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 xml:space="preserve"> 3 600,0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A02" w:rsidRDefault="00377A02">
            <w:pPr>
              <w:jc w:val="center"/>
            </w:pPr>
            <w:r>
              <w:t xml:space="preserve"> 0</w:t>
            </w:r>
          </w:p>
        </w:tc>
      </w:tr>
    </w:tbl>
    <w:p w:rsidR="00377A02" w:rsidRDefault="00377A02" w:rsidP="00377A02">
      <w:pPr>
        <w:pStyle w:val="2"/>
        <w:ind w:left="720"/>
        <w:rPr>
          <w:b w:val="0"/>
          <w:sz w:val="24"/>
          <w:szCs w:val="24"/>
          <w:shd w:val="clear" w:color="auto" w:fill="FFFFFF"/>
        </w:rPr>
      </w:pPr>
    </w:p>
    <w:p w:rsidR="00377A02" w:rsidRDefault="00377A02" w:rsidP="00377A02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Совокупный объем доходов бюджета муниципального района «Сыктывдинский» составил 1 111 751,9 тыс. руб. на 2019 год, 1 058 834,3 тыс. руб. на 2019 год и  1 050 612,4 тыс. руб. </w:t>
      </w:r>
    </w:p>
    <w:p w:rsidR="00377A02" w:rsidRDefault="00377A02" w:rsidP="00377A02">
      <w:pPr>
        <w:jc w:val="both"/>
        <w:rPr>
          <w:color w:val="FF0000"/>
        </w:rPr>
      </w:pPr>
      <w:r>
        <w:rPr>
          <w:color w:val="FF0000"/>
        </w:rPr>
        <w:tab/>
      </w:r>
      <w:r>
        <w:t xml:space="preserve">При прогнозировании отдельных видов доходов на очередной финансовый год использовались следующие показатели: </w:t>
      </w:r>
    </w:p>
    <w:p w:rsidR="00377A02" w:rsidRDefault="00377A02" w:rsidP="00377A02">
      <w:pPr>
        <w:jc w:val="both"/>
        <w:rPr>
          <w:b/>
          <w:color w:val="FF0000"/>
          <w:highlight w:val="red"/>
        </w:rPr>
      </w:pPr>
    </w:p>
    <w:p w:rsidR="00377A02" w:rsidRDefault="00377A02" w:rsidP="00377A02">
      <w:pPr>
        <w:jc w:val="both"/>
        <w:rPr>
          <w:highlight w:val="red"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налог на доходы физических лиц </w:t>
      </w:r>
      <w:r>
        <w:t xml:space="preserve">- исходя из сведений главного администратора доходов Межрайонной ИФНС России №1 по Республике Коми; </w:t>
      </w:r>
    </w:p>
    <w:p w:rsidR="00377A02" w:rsidRDefault="00377A02" w:rsidP="00377A02">
      <w:pPr>
        <w:jc w:val="both"/>
        <w:rPr>
          <w:color w:val="FF0000"/>
          <w:highlight w:val="red"/>
        </w:rPr>
      </w:pPr>
    </w:p>
    <w:p w:rsidR="00377A02" w:rsidRDefault="00377A02" w:rsidP="00377A02">
      <w:pPr>
        <w:jc w:val="both"/>
      </w:pPr>
      <w:r>
        <w:rPr>
          <w:b/>
        </w:rPr>
        <w:t>2. акцизы</w:t>
      </w:r>
      <w:r>
        <w:t xml:space="preserve"> - согласно данным Министерства финансов Республики Коми на 2018-2020 годы;</w:t>
      </w:r>
    </w:p>
    <w:p w:rsidR="00377A02" w:rsidRDefault="00377A02" w:rsidP="00377A02">
      <w:pPr>
        <w:jc w:val="both"/>
      </w:pPr>
    </w:p>
    <w:p w:rsidR="00377A02" w:rsidRDefault="00377A02" w:rsidP="00377A02">
      <w:pPr>
        <w:jc w:val="both"/>
      </w:pPr>
      <w:r>
        <w:rPr>
          <w:b/>
        </w:rPr>
        <w:t xml:space="preserve">3. налог, взимаемый в связи с применением упрощенной системы налогообложения; единый налог на вмененный доход, для отдельных видов деятельности; единый сельскохозяйственный налог; налог, взимаемый связи с применением патентной системы налогообложения  </w:t>
      </w:r>
      <w:r>
        <w:t>- согласно прогнозу главного администратора доходов Межрайонной ИФНС России №1 по Республике Коми;</w:t>
      </w:r>
    </w:p>
    <w:p w:rsidR="00377A02" w:rsidRDefault="00377A02" w:rsidP="00377A02">
      <w:pPr>
        <w:jc w:val="both"/>
        <w:rPr>
          <w:color w:val="FF0000"/>
          <w:highlight w:val="red"/>
        </w:rPr>
      </w:pPr>
    </w:p>
    <w:p w:rsidR="00377A02" w:rsidRDefault="00377A02" w:rsidP="00377A02">
      <w:pPr>
        <w:jc w:val="both"/>
      </w:pPr>
      <w:r>
        <w:rPr>
          <w:b/>
        </w:rPr>
        <w:t>4. государственная пошлин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согласно прогнозу главного администратора доходов Межрайонной ИФНС России №1 по Республике Коми;</w:t>
      </w:r>
    </w:p>
    <w:p w:rsidR="00377A02" w:rsidRDefault="00377A02" w:rsidP="00377A02">
      <w:pPr>
        <w:jc w:val="both"/>
        <w:rPr>
          <w:color w:val="FF0000"/>
        </w:rPr>
      </w:pPr>
    </w:p>
    <w:p w:rsidR="00377A02" w:rsidRDefault="00377A02" w:rsidP="00377A02">
      <w:pPr>
        <w:jc w:val="both"/>
      </w:pPr>
      <w:r>
        <w:rPr>
          <w:b/>
        </w:rPr>
        <w:t xml:space="preserve">5. плата за негативное воздействие на окружающую среду - </w:t>
      </w:r>
      <w:r>
        <w:t xml:space="preserve">по данным главного администратора поступления платежей Управления </w:t>
      </w:r>
      <w:proofErr w:type="spellStart"/>
      <w:r>
        <w:t>Росприроднадзора</w:t>
      </w:r>
      <w:proofErr w:type="spellEnd"/>
      <w:r>
        <w:t xml:space="preserve"> по Республике Коми; </w:t>
      </w:r>
    </w:p>
    <w:p w:rsidR="00377A02" w:rsidRDefault="00377A02" w:rsidP="00377A02">
      <w:pPr>
        <w:jc w:val="both"/>
        <w:rPr>
          <w:color w:val="FF0000"/>
          <w:highlight w:val="red"/>
        </w:rPr>
      </w:pPr>
    </w:p>
    <w:p w:rsidR="00377A02" w:rsidRDefault="00377A02" w:rsidP="00377A02">
      <w:pPr>
        <w:jc w:val="both"/>
      </w:pPr>
      <w:r>
        <w:rPr>
          <w:b/>
        </w:rPr>
        <w:t xml:space="preserve">6. штрафы, санкции, возмещение ущерба </w:t>
      </w:r>
      <w:r>
        <w:t>- согласно прогнозу главных администраторов доходов;</w:t>
      </w:r>
    </w:p>
    <w:p w:rsidR="00377A02" w:rsidRDefault="00377A02" w:rsidP="00377A02">
      <w:pPr>
        <w:jc w:val="both"/>
        <w:rPr>
          <w:color w:val="FF0000"/>
          <w:highlight w:val="red"/>
        </w:rPr>
      </w:pPr>
    </w:p>
    <w:p w:rsidR="00377A02" w:rsidRDefault="00377A02" w:rsidP="00377A02">
      <w:pPr>
        <w:jc w:val="both"/>
      </w:pPr>
      <w:r>
        <w:rPr>
          <w:b/>
        </w:rPr>
        <w:t>7. доходы от использования имущества</w:t>
      </w:r>
      <w:r>
        <w:t xml:space="preserve"> - объем муниципального имущества с учетом прогнозного плана приватизации и рыночной стоимости арендной платы, согласно прогнозу главного администратора доходов администрации МО МР «Сыктывдинский».</w:t>
      </w:r>
    </w:p>
    <w:p w:rsidR="00377A02" w:rsidRDefault="00377A02" w:rsidP="00377A02">
      <w:pPr>
        <w:jc w:val="center"/>
        <w:rPr>
          <w:b/>
        </w:rPr>
      </w:pPr>
    </w:p>
    <w:p w:rsidR="00C41D76" w:rsidRPr="001D2B4F" w:rsidRDefault="00C41D76" w:rsidP="008C14C0">
      <w:pPr>
        <w:jc w:val="center"/>
        <w:outlineLvl w:val="0"/>
        <w:rPr>
          <w:b/>
        </w:rPr>
      </w:pPr>
    </w:p>
    <w:p w:rsidR="007600A6" w:rsidRDefault="00DF5F09" w:rsidP="008C14C0">
      <w:pPr>
        <w:jc w:val="center"/>
        <w:outlineLvl w:val="0"/>
        <w:rPr>
          <w:b/>
        </w:rPr>
      </w:pPr>
      <w:r w:rsidRPr="001D2B4F">
        <w:rPr>
          <w:b/>
        </w:rPr>
        <w:t>Р</w:t>
      </w:r>
      <w:r w:rsidR="007600A6" w:rsidRPr="001D2B4F">
        <w:rPr>
          <w:b/>
        </w:rPr>
        <w:t>АСХОДЫ</w:t>
      </w:r>
    </w:p>
    <w:p w:rsidR="00377A02" w:rsidRPr="001D2B4F" w:rsidRDefault="00377A02" w:rsidP="008C14C0">
      <w:pPr>
        <w:jc w:val="center"/>
        <w:outlineLvl w:val="0"/>
        <w:rPr>
          <w:b/>
        </w:rPr>
      </w:pPr>
    </w:p>
    <w:p w:rsidR="00A9654F" w:rsidRPr="001D2B4F" w:rsidRDefault="00A9654F" w:rsidP="00A9654F">
      <w:pPr>
        <w:pStyle w:val="2"/>
        <w:ind w:firstLine="567"/>
        <w:rPr>
          <w:b w:val="0"/>
          <w:sz w:val="24"/>
          <w:szCs w:val="24"/>
        </w:rPr>
      </w:pPr>
      <w:r w:rsidRPr="001D2B4F">
        <w:rPr>
          <w:b w:val="0"/>
          <w:sz w:val="24"/>
          <w:szCs w:val="24"/>
        </w:rPr>
        <w:t xml:space="preserve">Проект решения о бюджете по расходам разработан в соответствии с приказом управления финансов от </w:t>
      </w:r>
      <w:r w:rsidR="00331231">
        <w:rPr>
          <w:b w:val="0"/>
          <w:sz w:val="24"/>
          <w:szCs w:val="24"/>
        </w:rPr>
        <w:t xml:space="preserve">30 декабря </w:t>
      </w:r>
      <w:r w:rsidRPr="001D2B4F">
        <w:rPr>
          <w:b w:val="0"/>
          <w:sz w:val="24"/>
          <w:szCs w:val="24"/>
        </w:rPr>
        <w:t>201</w:t>
      </w:r>
      <w:r w:rsidR="00331231">
        <w:rPr>
          <w:b w:val="0"/>
          <w:sz w:val="24"/>
          <w:szCs w:val="24"/>
        </w:rPr>
        <w:t>6</w:t>
      </w:r>
      <w:r w:rsidRPr="001D2B4F">
        <w:rPr>
          <w:b w:val="0"/>
          <w:sz w:val="24"/>
          <w:szCs w:val="24"/>
        </w:rPr>
        <w:t xml:space="preserve"> г. № </w:t>
      </w:r>
      <w:r w:rsidR="004E62E6">
        <w:rPr>
          <w:b w:val="0"/>
          <w:sz w:val="24"/>
          <w:szCs w:val="24"/>
        </w:rPr>
        <w:t>49</w:t>
      </w:r>
      <w:r w:rsidRPr="001D2B4F">
        <w:rPr>
          <w:b w:val="0"/>
          <w:sz w:val="24"/>
          <w:szCs w:val="24"/>
        </w:rPr>
        <w:t>-ОД "Об утверждении методики планирования бюджетных ассигнований бюджета муниципального района «Сыктывдинский» на очередной финансовый год».</w:t>
      </w:r>
    </w:p>
    <w:p w:rsidR="000D2A84" w:rsidRDefault="00235526" w:rsidP="00235526">
      <w:pPr>
        <w:pStyle w:val="2"/>
        <w:ind w:firstLine="567"/>
        <w:rPr>
          <w:b w:val="0"/>
          <w:sz w:val="24"/>
          <w:szCs w:val="24"/>
        </w:rPr>
      </w:pPr>
      <w:proofErr w:type="gramStart"/>
      <w:r w:rsidRPr="001D2B4F">
        <w:rPr>
          <w:b w:val="0"/>
          <w:sz w:val="24"/>
          <w:szCs w:val="24"/>
        </w:rPr>
        <w:t>Формирование проекта бюджета по расходам осуществлялось исходя из определения предельных объемов бюджетных ассигнований 201</w:t>
      </w:r>
      <w:r w:rsidR="0055062C">
        <w:rPr>
          <w:b w:val="0"/>
          <w:sz w:val="24"/>
          <w:szCs w:val="24"/>
        </w:rPr>
        <w:t>9</w:t>
      </w:r>
      <w:r w:rsidRPr="001D2B4F">
        <w:rPr>
          <w:b w:val="0"/>
          <w:sz w:val="24"/>
          <w:szCs w:val="24"/>
        </w:rPr>
        <w:t xml:space="preserve"> и 20</w:t>
      </w:r>
      <w:r w:rsidR="0055062C">
        <w:rPr>
          <w:b w:val="0"/>
          <w:sz w:val="24"/>
          <w:szCs w:val="24"/>
        </w:rPr>
        <w:t>20</w:t>
      </w:r>
      <w:r w:rsidRPr="001D2B4F">
        <w:rPr>
          <w:b w:val="0"/>
          <w:sz w:val="24"/>
          <w:szCs w:val="24"/>
        </w:rPr>
        <w:t xml:space="preserve"> годов на основе бюджетных ассигнований планового периода, утвержденных решением Совета МО МР «Сыктывдинский»</w:t>
      </w:r>
      <w:r w:rsidR="00C13787">
        <w:rPr>
          <w:b w:val="0"/>
          <w:sz w:val="24"/>
          <w:szCs w:val="24"/>
        </w:rPr>
        <w:t xml:space="preserve"> «</w:t>
      </w:r>
      <w:r w:rsidRPr="001D2B4F">
        <w:rPr>
          <w:b w:val="0"/>
          <w:sz w:val="24"/>
          <w:szCs w:val="24"/>
        </w:rPr>
        <w:t>О бюджете МО МР «Сыктывдинский» на 201</w:t>
      </w:r>
      <w:r w:rsidR="0055062C">
        <w:rPr>
          <w:b w:val="0"/>
          <w:sz w:val="24"/>
          <w:szCs w:val="24"/>
        </w:rPr>
        <w:t>8 год и плановый период 20</w:t>
      </w:r>
      <w:r w:rsidR="001449C7">
        <w:rPr>
          <w:b w:val="0"/>
          <w:sz w:val="24"/>
          <w:szCs w:val="24"/>
        </w:rPr>
        <w:t>19</w:t>
      </w:r>
      <w:r w:rsidR="0055062C">
        <w:rPr>
          <w:b w:val="0"/>
          <w:sz w:val="24"/>
          <w:szCs w:val="24"/>
        </w:rPr>
        <w:t xml:space="preserve"> и 2020</w:t>
      </w:r>
      <w:r w:rsidRPr="001D2B4F">
        <w:rPr>
          <w:b w:val="0"/>
          <w:sz w:val="24"/>
          <w:szCs w:val="24"/>
        </w:rPr>
        <w:t xml:space="preserve"> годов</w:t>
      </w:r>
      <w:r w:rsidR="00C13787">
        <w:rPr>
          <w:b w:val="0"/>
          <w:sz w:val="24"/>
          <w:szCs w:val="24"/>
        </w:rPr>
        <w:t>»</w:t>
      </w:r>
      <w:r w:rsidRPr="001D2B4F">
        <w:rPr>
          <w:b w:val="0"/>
          <w:sz w:val="24"/>
          <w:szCs w:val="24"/>
        </w:rPr>
        <w:t>, предельных объемов бюджетны</w:t>
      </w:r>
      <w:r w:rsidR="004E62E6">
        <w:rPr>
          <w:b w:val="0"/>
          <w:sz w:val="24"/>
          <w:szCs w:val="24"/>
        </w:rPr>
        <w:t>х ассигнований 202</w:t>
      </w:r>
      <w:r w:rsidR="0055062C">
        <w:rPr>
          <w:b w:val="0"/>
          <w:sz w:val="24"/>
          <w:szCs w:val="24"/>
        </w:rPr>
        <w:t>1</w:t>
      </w:r>
      <w:r w:rsidRPr="001D2B4F">
        <w:rPr>
          <w:b w:val="0"/>
          <w:sz w:val="24"/>
          <w:szCs w:val="24"/>
        </w:rPr>
        <w:t xml:space="preserve"> года – на основе предельных об</w:t>
      </w:r>
      <w:r w:rsidR="0055062C">
        <w:rPr>
          <w:b w:val="0"/>
          <w:sz w:val="24"/>
          <w:szCs w:val="24"/>
        </w:rPr>
        <w:t>ъемов бюджетных ассигнований 2020</w:t>
      </w:r>
      <w:r w:rsidRPr="001D2B4F">
        <w:rPr>
          <w:b w:val="0"/>
          <w:sz w:val="24"/>
          <w:szCs w:val="24"/>
        </w:rPr>
        <w:t xml:space="preserve"> года.</w:t>
      </w:r>
      <w:proofErr w:type="gramEnd"/>
      <w:r w:rsidRPr="001D2B4F">
        <w:rPr>
          <w:b w:val="0"/>
          <w:sz w:val="24"/>
          <w:szCs w:val="24"/>
        </w:rPr>
        <w:t xml:space="preserve"> </w:t>
      </w:r>
      <w:r w:rsidRPr="006957A0">
        <w:rPr>
          <w:b w:val="0"/>
          <w:sz w:val="24"/>
          <w:szCs w:val="24"/>
        </w:rPr>
        <w:t>Индексация расходов бюджета на 201</w:t>
      </w:r>
      <w:r w:rsidR="00E80CAA">
        <w:rPr>
          <w:b w:val="0"/>
          <w:sz w:val="24"/>
          <w:szCs w:val="24"/>
        </w:rPr>
        <w:t>9</w:t>
      </w:r>
      <w:r w:rsidRPr="006957A0">
        <w:rPr>
          <w:b w:val="0"/>
          <w:sz w:val="24"/>
          <w:szCs w:val="24"/>
        </w:rPr>
        <w:t xml:space="preserve"> год </w:t>
      </w:r>
      <w:r w:rsidR="000D2A84" w:rsidRPr="00B3544E">
        <w:rPr>
          <w:b w:val="0"/>
          <w:sz w:val="24"/>
          <w:szCs w:val="24"/>
        </w:rPr>
        <w:t>произведена по оплате труда</w:t>
      </w:r>
      <w:r w:rsidR="000D2A84">
        <w:rPr>
          <w:b w:val="0"/>
          <w:sz w:val="24"/>
          <w:szCs w:val="24"/>
        </w:rPr>
        <w:t xml:space="preserve"> </w:t>
      </w:r>
      <w:r w:rsidR="00B3544E">
        <w:rPr>
          <w:b w:val="0"/>
          <w:sz w:val="24"/>
          <w:szCs w:val="24"/>
        </w:rPr>
        <w:t xml:space="preserve">в размере 4% с 1 октября, на коммунальные услуги с 1 января </w:t>
      </w:r>
      <w:r w:rsidR="009100A0">
        <w:rPr>
          <w:b w:val="0"/>
          <w:sz w:val="24"/>
          <w:szCs w:val="24"/>
        </w:rPr>
        <w:t>1,7</w:t>
      </w:r>
      <w:r w:rsidR="00B3544E">
        <w:rPr>
          <w:b w:val="0"/>
          <w:sz w:val="24"/>
          <w:szCs w:val="24"/>
        </w:rPr>
        <w:t>% и с 1 июля 2</w:t>
      </w:r>
      <w:r w:rsidR="009100A0">
        <w:rPr>
          <w:b w:val="0"/>
          <w:sz w:val="24"/>
          <w:szCs w:val="24"/>
        </w:rPr>
        <w:t>,4</w:t>
      </w:r>
      <w:r w:rsidR="00B3544E">
        <w:rPr>
          <w:b w:val="0"/>
          <w:sz w:val="24"/>
          <w:szCs w:val="24"/>
        </w:rPr>
        <w:t xml:space="preserve">%. </w:t>
      </w:r>
    </w:p>
    <w:p w:rsidR="000D2A84" w:rsidRDefault="000D2A84" w:rsidP="00235526">
      <w:pPr>
        <w:pStyle w:val="2"/>
        <w:ind w:firstLine="567"/>
        <w:rPr>
          <w:b w:val="0"/>
          <w:sz w:val="24"/>
          <w:szCs w:val="24"/>
        </w:rPr>
      </w:pPr>
    </w:p>
    <w:p w:rsidR="00E543CA" w:rsidRPr="001D2B4F" w:rsidRDefault="00E543CA" w:rsidP="00015F31">
      <w:pPr>
        <w:pStyle w:val="2"/>
        <w:ind w:firstLine="567"/>
        <w:rPr>
          <w:b w:val="0"/>
          <w:sz w:val="24"/>
          <w:szCs w:val="24"/>
        </w:rPr>
      </w:pPr>
      <w:r w:rsidRPr="001D2B4F">
        <w:rPr>
          <w:b w:val="0"/>
          <w:sz w:val="24"/>
          <w:szCs w:val="24"/>
        </w:rPr>
        <w:t>Бюджетные ассигнования сформированы исходя из следующих приоритетов:</w:t>
      </w:r>
    </w:p>
    <w:p w:rsidR="00682C93" w:rsidRPr="00682C93" w:rsidRDefault="00305E67" w:rsidP="00015F3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82C93" w:rsidRPr="00682C93">
        <w:rPr>
          <w:b w:val="0"/>
          <w:sz w:val="24"/>
          <w:szCs w:val="24"/>
        </w:rPr>
        <w:t>исполнение социальных обязательств;</w:t>
      </w:r>
    </w:p>
    <w:p w:rsidR="00A44488" w:rsidRDefault="00305E67" w:rsidP="00015F31">
      <w:pPr>
        <w:pStyle w:val="a6"/>
        <w:tabs>
          <w:tab w:val="right" w:pos="9639"/>
        </w:tabs>
        <w:ind w:left="0"/>
        <w:jc w:val="both"/>
      </w:pPr>
      <w:r>
        <w:t>-</w:t>
      </w:r>
      <w:r w:rsidR="00A44488">
        <w:t>выполнение Указа Президента Российской Федерации №204;</w:t>
      </w:r>
    </w:p>
    <w:p w:rsidR="00A44488" w:rsidRPr="00FA0A6F" w:rsidRDefault="00305E67" w:rsidP="00015F31">
      <w:pPr>
        <w:pStyle w:val="a6"/>
        <w:tabs>
          <w:tab w:val="right" w:pos="9639"/>
        </w:tabs>
        <w:ind w:left="0"/>
        <w:jc w:val="both"/>
      </w:pPr>
      <w:r>
        <w:t>-</w:t>
      </w:r>
      <w:r w:rsidR="00A44488">
        <w:t>реализации  майски</w:t>
      </w:r>
      <w:r w:rsidR="00957042">
        <w:t>х</w:t>
      </w:r>
      <w:r w:rsidR="00A44488">
        <w:t xml:space="preserve"> указов Президента Российской Федерации 2012 года по</w:t>
      </w:r>
      <w:r w:rsidR="00A44488" w:rsidRPr="00FA0A6F">
        <w:t xml:space="preserve"> обеспечению необходимого </w:t>
      </w:r>
      <w:proofErr w:type="gramStart"/>
      <w:r w:rsidR="00A44488" w:rsidRPr="00FA0A6F">
        <w:t>уровня оплаты труда отдельных категорий работников бюджетной сферы</w:t>
      </w:r>
      <w:proofErr w:type="gramEnd"/>
      <w:r w:rsidR="00A44488">
        <w:t>;</w:t>
      </w:r>
    </w:p>
    <w:p w:rsidR="00682C93" w:rsidRDefault="00682C93" w:rsidP="0059588B">
      <w:pPr>
        <w:ind w:firstLine="708"/>
        <w:jc w:val="both"/>
      </w:pPr>
    </w:p>
    <w:p w:rsidR="00C93637" w:rsidRPr="001D2B4F" w:rsidRDefault="00C93637" w:rsidP="00C93637">
      <w:r w:rsidRPr="001D2B4F">
        <w:t>Общий объем расход</w:t>
      </w:r>
      <w:r w:rsidR="009F1BFB">
        <w:t>ов</w:t>
      </w:r>
      <w:r w:rsidRPr="001D2B4F">
        <w:t xml:space="preserve"> в проекте решения о бюджете планируется:</w:t>
      </w:r>
    </w:p>
    <w:p w:rsidR="00C93637" w:rsidRPr="001D2B4F" w:rsidRDefault="00C93637" w:rsidP="00C93637">
      <w:r w:rsidRPr="001D2B4F">
        <w:t>на 201</w:t>
      </w:r>
      <w:r w:rsidR="00230C42">
        <w:t>9</w:t>
      </w:r>
      <w:r w:rsidRPr="001D2B4F">
        <w:t xml:space="preserve"> год  </w:t>
      </w:r>
      <w:r w:rsidR="000D2A84">
        <w:t>1</w:t>
      </w:r>
      <w:r w:rsidR="00230C42">
        <w:t xml:space="preserve"> </w:t>
      </w:r>
      <w:r w:rsidR="000D2A84">
        <w:t>126 751,9</w:t>
      </w:r>
      <w:r w:rsidRPr="001D2B4F">
        <w:t xml:space="preserve"> тыс.руб.;</w:t>
      </w:r>
    </w:p>
    <w:p w:rsidR="00C93637" w:rsidRPr="001D2B4F" w:rsidRDefault="00230C42" w:rsidP="00C93637">
      <w:r>
        <w:t>на 2020</w:t>
      </w:r>
      <w:r w:rsidR="00D5316B">
        <w:t xml:space="preserve"> год  </w:t>
      </w:r>
      <w:r>
        <w:t>1</w:t>
      </w:r>
      <w:r w:rsidR="00B31DF4">
        <w:t> </w:t>
      </w:r>
      <w:r>
        <w:t>0</w:t>
      </w:r>
      <w:r w:rsidR="00B31DF4">
        <w:t>58 834,3</w:t>
      </w:r>
      <w:r w:rsidR="00D5316B">
        <w:t xml:space="preserve"> </w:t>
      </w:r>
      <w:r w:rsidR="00C93637" w:rsidRPr="001D2B4F">
        <w:t>тыс.руб.;</w:t>
      </w:r>
    </w:p>
    <w:p w:rsidR="00C93637" w:rsidRDefault="00075562" w:rsidP="00C93637">
      <w:pPr>
        <w:jc w:val="both"/>
      </w:pPr>
      <w:r>
        <w:t>на 202</w:t>
      </w:r>
      <w:r w:rsidR="00230C42">
        <w:t>1</w:t>
      </w:r>
      <w:r w:rsidR="00C93637" w:rsidRPr="001D2B4F">
        <w:t xml:space="preserve"> год </w:t>
      </w:r>
      <w:r w:rsidR="00230C42">
        <w:t xml:space="preserve"> 1 0</w:t>
      </w:r>
      <w:r w:rsidR="00B31DF4">
        <w:t>50 612,4</w:t>
      </w:r>
      <w:r w:rsidR="00C93637" w:rsidRPr="001D2B4F">
        <w:t>тыс</w:t>
      </w:r>
      <w:proofErr w:type="gramStart"/>
      <w:r w:rsidR="00C93637" w:rsidRPr="001D2B4F">
        <w:t>.р</w:t>
      </w:r>
      <w:proofErr w:type="gramEnd"/>
      <w:r w:rsidR="00C93637" w:rsidRPr="001D2B4F">
        <w:t xml:space="preserve">уб. </w:t>
      </w:r>
    </w:p>
    <w:p w:rsidR="006957A0" w:rsidRPr="001D2B4F" w:rsidRDefault="006957A0" w:rsidP="00C93637">
      <w:pPr>
        <w:jc w:val="both"/>
      </w:pPr>
    </w:p>
    <w:p w:rsidR="00480D50" w:rsidRDefault="00B16F0E" w:rsidP="006957A0">
      <w:pPr>
        <w:ind w:firstLine="708"/>
        <w:jc w:val="both"/>
      </w:pPr>
      <w:r>
        <w:t>Из общего объема расходов бюджета расходы на з</w:t>
      </w:r>
      <w:r w:rsidR="006957A0" w:rsidRPr="001D2B4F">
        <w:t>аработн</w:t>
      </w:r>
      <w:r>
        <w:t xml:space="preserve">ую </w:t>
      </w:r>
      <w:r w:rsidR="006957A0" w:rsidRPr="001D2B4F">
        <w:t>плат</w:t>
      </w:r>
      <w:r>
        <w:t>у</w:t>
      </w:r>
      <w:r w:rsidR="006957A0" w:rsidRPr="001D2B4F">
        <w:t xml:space="preserve"> с начислениями </w:t>
      </w:r>
      <w:r w:rsidR="006957A0" w:rsidRPr="00233BEF">
        <w:t>составля</w:t>
      </w:r>
      <w:r w:rsidRPr="00233BEF">
        <w:t>ю</w:t>
      </w:r>
      <w:r w:rsidR="006957A0" w:rsidRPr="00233BEF">
        <w:t xml:space="preserve">т более </w:t>
      </w:r>
      <w:r w:rsidR="00233BEF" w:rsidRPr="00233BEF">
        <w:t>6</w:t>
      </w:r>
      <w:r w:rsidR="006957A0" w:rsidRPr="00233BEF">
        <w:t>0%</w:t>
      </w:r>
      <w:r w:rsidR="006957A0" w:rsidRPr="005255B0">
        <w:t xml:space="preserve"> </w:t>
      </w:r>
      <w:r w:rsidR="005734B4" w:rsidRPr="005255B0">
        <w:t>.</w:t>
      </w:r>
      <w:r w:rsidR="005255B0">
        <w:t xml:space="preserve"> </w:t>
      </w:r>
    </w:p>
    <w:p w:rsidR="00225DF6" w:rsidRDefault="00C530E2" w:rsidP="00ED605C">
      <w:pPr>
        <w:ind w:firstLine="708"/>
        <w:jc w:val="both"/>
      </w:pPr>
      <w:r>
        <w:t xml:space="preserve">В бюджете предусмотрены расходы </w:t>
      </w:r>
      <w:r w:rsidR="006957A0">
        <w:t xml:space="preserve">из республиканского бюджета для повышения заработной платы работникам культуры и дополнительного образования в сумме </w:t>
      </w:r>
      <w:r>
        <w:t>38 727,2</w:t>
      </w:r>
      <w:r w:rsidR="006957A0">
        <w:t xml:space="preserve"> тыс.руб., </w:t>
      </w:r>
      <w:r w:rsidR="001A610A">
        <w:t xml:space="preserve"> на </w:t>
      </w:r>
      <w:r w:rsidR="00ED605C">
        <w:t>с</w:t>
      </w:r>
      <w:r>
        <w:t>офинансирование</w:t>
      </w:r>
      <w:r w:rsidR="001A610A">
        <w:t xml:space="preserve"> указанной субсидии за счет местного </w:t>
      </w:r>
      <w:r w:rsidR="001A610A" w:rsidRPr="00664A6A">
        <w:t>бюджета в сумме</w:t>
      </w:r>
      <w:r w:rsidR="001A610A">
        <w:t xml:space="preserve"> </w:t>
      </w:r>
      <w:r w:rsidR="00664A6A">
        <w:t>391,2</w:t>
      </w:r>
      <w:r w:rsidR="001A610A">
        <w:t xml:space="preserve"> тыс.руб.  </w:t>
      </w:r>
    </w:p>
    <w:p w:rsidR="008D4BE9" w:rsidRPr="001D2B4F" w:rsidRDefault="008D4BE9" w:rsidP="00ED605C">
      <w:pPr>
        <w:ind w:firstLine="708"/>
        <w:jc w:val="both"/>
      </w:pPr>
    </w:p>
    <w:p w:rsidR="00653447" w:rsidRPr="001D2B4F" w:rsidRDefault="00653447" w:rsidP="00653447">
      <w:pPr>
        <w:jc w:val="center"/>
        <w:rPr>
          <w:b/>
        </w:rPr>
      </w:pPr>
      <w:r w:rsidRPr="001D2B4F">
        <w:rPr>
          <w:b/>
        </w:rPr>
        <w:t>Перечень муниципальных программ, предлагаемых к финансированию в 201</w:t>
      </w:r>
      <w:r w:rsidR="00791FA6">
        <w:rPr>
          <w:b/>
        </w:rPr>
        <w:t>9 году и плановом периоде 2020</w:t>
      </w:r>
      <w:r w:rsidR="00616928">
        <w:rPr>
          <w:b/>
        </w:rPr>
        <w:t xml:space="preserve"> и 202</w:t>
      </w:r>
      <w:r w:rsidR="00791FA6">
        <w:rPr>
          <w:b/>
        </w:rPr>
        <w:t>1</w:t>
      </w:r>
      <w:r w:rsidRPr="001D2B4F">
        <w:rPr>
          <w:b/>
        </w:rPr>
        <w:t xml:space="preserve"> годах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391"/>
        <w:gridCol w:w="1705"/>
        <w:gridCol w:w="1418"/>
        <w:gridCol w:w="1559"/>
      </w:tblGrid>
      <w:tr w:rsidR="00653447" w:rsidRPr="001D2B4F" w:rsidTr="00653447">
        <w:trPr>
          <w:trHeight w:val="25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47" w:rsidRPr="001D2B4F" w:rsidRDefault="00653447" w:rsidP="00653447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47" w:rsidRPr="001D2B4F" w:rsidRDefault="00653447" w:rsidP="0007363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>
            <w:r w:rsidRPr="001D2B4F">
              <w:t>тыс.руб.</w:t>
            </w:r>
          </w:p>
        </w:tc>
      </w:tr>
      <w:tr w:rsidR="00653447" w:rsidRPr="001D2B4F" w:rsidTr="00073634">
        <w:trPr>
          <w:trHeight w:val="49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073634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Наименование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791FA6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201</w:t>
            </w:r>
            <w:r w:rsidR="00791FA6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791FA6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</w:t>
            </w:r>
            <w:r w:rsidR="00791FA6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791FA6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</w:t>
            </w:r>
            <w:r w:rsidR="00616928">
              <w:rPr>
                <w:b/>
                <w:bCs/>
              </w:rPr>
              <w:t>2</w:t>
            </w:r>
            <w:r w:rsidR="00791FA6">
              <w:rPr>
                <w:b/>
                <w:bCs/>
              </w:rPr>
              <w:t>1</w:t>
            </w:r>
          </w:p>
        </w:tc>
      </w:tr>
      <w:tr w:rsidR="00653447" w:rsidRPr="001D2B4F" w:rsidTr="00616928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>
            <w:pPr>
              <w:rPr>
                <w:b/>
                <w:bCs/>
              </w:rPr>
            </w:pPr>
            <w:r w:rsidRPr="001D2B4F">
              <w:rPr>
                <w:b/>
                <w:bCs/>
              </w:rPr>
              <w:t>ИТОГО: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53447" w:rsidRPr="005A0A20" w:rsidRDefault="00237425" w:rsidP="00073634">
            <w:pPr>
              <w:jc w:val="right"/>
              <w:rPr>
                <w:b/>
                <w:bCs/>
              </w:rPr>
            </w:pPr>
            <w:r w:rsidRPr="005A0A20">
              <w:rPr>
                <w:b/>
                <w:bCs/>
              </w:rPr>
              <w:t>964</w:t>
            </w:r>
            <w:r w:rsidR="00157F2D" w:rsidRPr="005A0A20">
              <w:rPr>
                <w:b/>
                <w:bCs/>
              </w:rPr>
              <w:t xml:space="preserve"> </w:t>
            </w:r>
            <w:r w:rsidRPr="005A0A20">
              <w:rPr>
                <w:b/>
                <w:bCs/>
              </w:rPr>
              <w:t>476,8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53447" w:rsidRPr="005A0A20" w:rsidRDefault="00237425" w:rsidP="00073634">
            <w:pPr>
              <w:jc w:val="right"/>
              <w:rPr>
                <w:b/>
                <w:bCs/>
              </w:rPr>
            </w:pPr>
            <w:r w:rsidRPr="005A0A20">
              <w:rPr>
                <w:b/>
                <w:bCs/>
              </w:rPr>
              <w:t>919</w:t>
            </w:r>
            <w:r w:rsidR="00157F2D" w:rsidRPr="005A0A20">
              <w:rPr>
                <w:b/>
                <w:bCs/>
              </w:rPr>
              <w:t xml:space="preserve"> </w:t>
            </w:r>
            <w:r w:rsidRPr="005A0A20">
              <w:rPr>
                <w:b/>
                <w:bCs/>
              </w:rPr>
              <w:t>716,4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447" w:rsidRPr="005A0A20" w:rsidRDefault="00237425" w:rsidP="00073634">
            <w:pPr>
              <w:jc w:val="right"/>
              <w:rPr>
                <w:b/>
                <w:bCs/>
              </w:rPr>
            </w:pPr>
            <w:r w:rsidRPr="005A0A20">
              <w:rPr>
                <w:b/>
                <w:bCs/>
              </w:rPr>
              <w:t>904</w:t>
            </w:r>
            <w:r w:rsidR="00157F2D" w:rsidRPr="005A0A20">
              <w:rPr>
                <w:b/>
                <w:bCs/>
              </w:rPr>
              <w:t xml:space="preserve"> </w:t>
            </w:r>
            <w:r w:rsidRPr="005A0A20">
              <w:rPr>
                <w:b/>
                <w:bCs/>
              </w:rPr>
              <w:t>933,0</w:t>
            </w:r>
          </w:p>
        </w:tc>
      </w:tr>
      <w:tr w:rsidR="00653447" w:rsidRPr="001D2B4F" w:rsidTr="00616928">
        <w:trPr>
          <w:trHeight w:val="13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944C4F" w:rsidP="003B190C">
            <w:r w:rsidRPr="001D2B4F">
              <w:t xml:space="preserve">Муниципальная программа муниципального образования муниципального района </w:t>
            </w:r>
            <w:r>
              <w:t>«</w:t>
            </w:r>
            <w:r w:rsidRPr="001D2B4F">
              <w:t>Сыктывдинский</w:t>
            </w:r>
            <w:r>
              <w:t>» «</w:t>
            </w:r>
            <w:r w:rsidRPr="001D2B4F">
              <w:t>Развитие экономики</w:t>
            </w:r>
            <w:r>
              <w:t>»</w:t>
            </w:r>
            <w:r w:rsidRPr="001D2B4F">
              <w:t xml:space="preserve"> на </w:t>
            </w:r>
            <w:r>
              <w:t>2019-</w:t>
            </w:r>
            <w:r w:rsidRPr="001D2B4F">
              <w:t xml:space="preserve"> 202</w:t>
            </w:r>
            <w:r>
              <w:t>1</w:t>
            </w:r>
            <w:r w:rsidRPr="001D2B4F">
              <w:t xml:space="preserve"> год</w:t>
            </w:r>
            <w:r>
              <w:t>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450,0</w:t>
            </w:r>
          </w:p>
        </w:tc>
      </w:tr>
      <w:tr w:rsidR="00653447" w:rsidRPr="001D2B4F" w:rsidTr="00616928">
        <w:trPr>
          <w:trHeight w:val="15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3B190C">
            <w:r w:rsidRPr="001D2B4F">
              <w:t xml:space="preserve">Муниципальная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</w:t>
            </w:r>
            <w:r w:rsidR="003B190C">
              <w:t>2019-</w:t>
            </w:r>
            <w:r w:rsidRPr="001D2B4F">
              <w:t xml:space="preserve"> 202</w:t>
            </w:r>
            <w:r w:rsidR="003B190C">
              <w:t>1 годы</w:t>
            </w:r>
            <w:r w:rsidRPr="001D2B4F"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51</w:t>
            </w:r>
            <w:r w:rsidR="00157F2D">
              <w:t xml:space="preserve"> </w:t>
            </w:r>
            <w:r>
              <w:t>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17</w:t>
            </w:r>
            <w:r w:rsidR="00157F2D">
              <w:t xml:space="preserve"> </w:t>
            </w:r>
            <w:r>
              <w:t>458,9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47" w:rsidRPr="00F87C5C" w:rsidRDefault="00237425" w:rsidP="00073634">
            <w:pPr>
              <w:jc w:val="right"/>
            </w:pPr>
            <w:r>
              <w:t>18</w:t>
            </w:r>
            <w:r w:rsidR="00157F2D">
              <w:t xml:space="preserve"> </w:t>
            </w:r>
            <w:r>
              <w:t>432,8</w:t>
            </w:r>
          </w:p>
        </w:tc>
      </w:tr>
      <w:tr w:rsidR="00237425" w:rsidRPr="001D2B4F" w:rsidTr="00616928">
        <w:trPr>
          <w:trHeight w:val="89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37425" w:rsidRPr="00237425" w:rsidRDefault="00237425" w:rsidP="00237425">
            <w:r w:rsidRPr="00237425">
              <w:t>Муниципальная программа муниципального района «Сыктывдинский» «Развитие образования в Сыктывдинском районе» на 2019-2021 годы</w:t>
            </w:r>
          </w:p>
          <w:p w:rsidR="00237425" w:rsidRPr="001D2B4F" w:rsidRDefault="00237425" w:rsidP="003B190C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A64412">
            <w:pPr>
              <w:jc w:val="right"/>
            </w:pPr>
            <w:r>
              <w:t>714</w:t>
            </w:r>
            <w:r w:rsidR="00157F2D">
              <w:t xml:space="preserve"> </w:t>
            </w:r>
            <w:r>
              <w:t>070,9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A64412">
            <w:pPr>
              <w:jc w:val="right"/>
            </w:pPr>
            <w:r>
              <w:t>731</w:t>
            </w:r>
            <w:r w:rsidR="00157F2D">
              <w:t xml:space="preserve"> </w:t>
            </w:r>
            <w:r>
              <w:t>307,2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A64412">
            <w:pPr>
              <w:jc w:val="right"/>
            </w:pPr>
            <w:r>
              <w:t>717</w:t>
            </w:r>
            <w:r w:rsidR="00157F2D">
              <w:t xml:space="preserve"> </w:t>
            </w:r>
            <w:r>
              <w:t>978,0</w:t>
            </w:r>
          </w:p>
        </w:tc>
      </w:tr>
      <w:tr w:rsidR="00237425" w:rsidRPr="001D2B4F" w:rsidTr="00616928">
        <w:trPr>
          <w:trHeight w:val="13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37425" w:rsidRPr="001D2B4F" w:rsidRDefault="00237425" w:rsidP="003B190C">
            <w:r w:rsidRPr="001D2B4F">
              <w:t>Муниципальная программа муниципального района «Сыктывдинский» «Создание условий для развития социальной сферы</w:t>
            </w:r>
            <w:r>
              <w:t xml:space="preserve"> на 2019-2021 годы</w:t>
            </w:r>
            <w:r w:rsidRPr="001D2B4F"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2</w:t>
            </w:r>
            <w:r w:rsidR="00157F2D">
              <w:t xml:space="preserve"> </w:t>
            </w:r>
            <w:r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2</w:t>
            </w:r>
            <w:r w:rsidR="00157F2D">
              <w:t xml:space="preserve"> </w:t>
            </w:r>
            <w:r>
              <w:t>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2</w:t>
            </w:r>
            <w:r w:rsidR="00157F2D">
              <w:t xml:space="preserve"> </w:t>
            </w:r>
            <w:r>
              <w:t>810,0</w:t>
            </w:r>
          </w:p>
        </w:tc>
      </w:tr>
      <w:tr w:rsidR="00237425" w:rsidRPr="001D2B4F" w:rsidTr="00616928">
        <w:trPr>
          <w:trHeight w:val="15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37425" w:rsidRPr="001D2B4F" w:rsidRDefault="00237425" w:rsidP="00944C4F">
            <w:r w:rsidRPr="00944C4F">
              <w:t>Муниципальная программа муниципального образования муниципального района «Сыктывдинский» «Развитие культуры, физической культуры и спорта в МО МР «Сыктывдинский» на 2019-2021 годы»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147</w:t>
            </w:r>
            <w:r w:rsidR="00157F2D">
              <w:t xml:space="preserve"> </w:t>
            </w:r>
            <w:r>
              <w:t>795,6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0D4F04" w:rsidP="00073634">
            <w:pPr>
              <w:jc w:val="right"/>
            </w:pPr>
            <w:r>
              <w:t>134 873,5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25" w:rsidRPr="00F87C5C" w:rsidRDefault="000D4F04" w:rsidP="00073634">
            <w:pPr>
              <w:jc w:val="right"/>
            </w:pPr>
            <w:r>
              <w:t>132 873,5</w:t>
            </w:r>
          </w:p>
        </w:tc>
      </w:tr>
      <w:tr w:rsidR="00237425" w:rsidRPr="001D2B4F" w:rsidTr="00616928">
        <w:trPr>
          <w:trHeight w:val="11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37425" w:rsidRPr="001D2B4F" w:rsidRDefault="00237425" w:rsidP="003B190C">
            <w:r w:rsidRPr="001D2B4F">
              <w:t xml:space="preserve">Муниципальная программа МО МР «Сыктывдинский» «Развитие муниципального управления» </w:t>
            </w:r>
            <w:r>
              <w:t>2019-</w:t>
            </w:r>
            <w:r w:rsidRPr="001D2B4F">
              <w:t>202</w:t>
            </w:r>
            <w:r>
              <w:t>1</w:t>
            </w:r>
            <w:r w:rsidRPr="001D2B4F">
              <w:t xml:space="preserve"> год</w:t>
            </w:r>
            <w:r>
              <w:t>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10</w:t>
            </w:r>
            <w:r w:rsidR="00157F2D">
              <w:t xml:space="preserve"> </w:t>
            </w:r>
            <w:r>
              <w:t>415,6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10</w:t>
            </w:r>
            <w:r w:rsidR="00157F2D">
              <w:t xml:space="preserve"> </w:t>
            </w:r>
            <w: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10</w:t>
            </w:r>
            <w:r w:rsidR="00157F2D">
              <w:t xml:space="preserve"> </w:t>
            </w:r>
            <w:r>
              <w:t>459,4</w:t>
            </w:r>
          </w:p>
        </w:tc>
      </w:tr>
      <w:tr w:rsidR="00237425" w:rsidRPr="001D2B4F" w:rsidTr="00616928">
        <w:trPr>
          <w:trHeight w:val="11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37425" w:rsidRPr="001D2B4F" w:rsidRDefault="00237425" w:rsidP="00073634">
            <w:r w:rsidRPr="001D2B4F">
              <w:t xml:space="preserve">Муниципальная программа «Обеспечение безопасности населения и муниципального имущества на территории МО МР «Сыктывдинский» на </w:t>
            </w:r>
            <w:r>
              <w:t>2019-</w:t>
            </w:r>
            <w:r w:rsidRPr="001D2B4F">
              <w:t xml:space="preserve"> 202</w:t>
            </w:r>
            <w:r>
              <w:t>1</w:t>
            </w:r>
            <w:r w:rsidRPr="001D2B4F">
              <w:t xml:space="preserve"> год</w:t>
            </w:r>
            <w:r>
              <w:t>ы</w:t>
            </w:r>
            <w:r w:rsidRPr="001D2B4F"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237425" w:rsidP="00073634">
            <w:pPr>
              <w:jc w:val="right"/>
            </w:pPr>
            <w:r>
              <w:t>37</w:t>
            </w:r>
            <w:r w:rsidR="00157F2D">
              <w:t xml:space="preserve"> </w:t>
            </w:r>
            <w: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7425" w:rsidRPr="00F87C5C" w:rsidRDefault="000D4F04" w:rsidP="00073634">
            <w:pPr>
              <w:jc w:val="right"/>
            </w:pPr>
            <w:r>
              <w:t>22 357,4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25" w:rsidRPr="00F87C5C" w:rsidRDefault="000D4F04" w:rsidP="00073634">
            <w:pPr>
              <w:jc w:val="right"/>
            </w:pPr>
            <w:r>
              <w:t>21 929,3</w:t>
            </w:r>
          </w:p>
        </w:tc>
      </w:tr>
    </w:tbl>
    <w:p w:rsidR="00B44F4C" w:rsidRPr="001D2B4F" w:rsidRDefault="00B44F4C" w:rsidP="007600A6">
      <w:pPr>
        <w:jc w:val="both"/>
      </w:pPr>
      <w:r w:rsidRPr="001D2B4F">
        <w:t>В общем объеме расходов бюджета программные направления деятельности составят:</w:t>
      </w:r>
    </w:p>
    <w:p w:rsidR="00B44F4C" w:rsidRPr="001D2B4F" w:rsidRDefault="00AE63B3" w:rsidP="00B44F4C">
      <w:r w:rsidRPr="001D2B4F">
        <w:t>в</w:t>
      </w:r>
      <w:r w:rsidR="00B44F4C" w:rsidRPr="001D2B4F">
        <w:t xml:space="preserve"> 201</w:t>
      </w:r>
      <w:r w:rsidR="00791FA6">
        <w:t>9</w:t>
      </w:r>
      <w:r w:rsidR="00B44F4C" w:rsidRPr="001D2B4F">
        <w:t xml:space="preserve"> год</w:t>
      </w:r>
      <w:r w:rsidRPr="001D2B4F">
        <w:t>у</w:t>
      </w:r>
      <w:r w:rsidR="00B44F4C" w:rsidRPr="001D2B4F">
        <w:t xml:space="preserve">  </w:t>
      </w:r>
      <w:r w:rsidR="003943A5" w:rsidRPr="001D2B4F">
        <w:t xml:space="preserve"> </w:t>
      </w:r>
      <w:r w:rsidR="00157F2D">
        <w:t>85,6</w:t>
      </w:r>
      <w:r w:rsidR="00917585" w:rsidRPr="001D2B4F">
        <w:t xml:space="preserve"> </w:t>
      </w:r>
      <w:r w:rsidR="00810A0A" w:rsidRPr="001D2B4F">
        <w:t>%;</w:t>
      </w:r>
    </w:p>
    <w:p w:rsidR="00B44F4C" w:rsidRPr="001D2B4F" w:rsidRDefault="00AE63B3" w:rsidP="00B44F4C">
      <w:r w:rsidRPr="001D2B4F">
        <w:lastRenderedPageBreak/>
        <w:t>в</w:t>
      </w:r>
      <w:r w:rsidR="00791FA6">
        <w:t xml:space="preserve"> 2020</w:t>
      </w:r>
      <w:r w:rsidR="00B44F4C" w:rsidRPr="001D2B4F">
        <w:t xml:space="preserve"> год</w:t>
      </w:r>
      <w:r w:rsidRPr="001D2B4F">
        <w:t>у</w:t>
      </w:r>
      <w:r w:rsidR="00B44F4C" w:rsidRPr="001D2B4F">
        <w:t xml:space="preserve">  </w:t>
      </w:r>
      <w:r w:rsidR="006340BB" w:rsidRPr="001D2B4F">
        <w:t xml:space="preserve"> </w:t>
      </w:r>
      <w:r w:rsidR="00917585" w:rsidRPr="001D2B4F">
        <w:t xml:space="preserve"> </w:t>
      </w:r>
      <w:r w:rsidR="00157F2D">
        <w:t>86,9</w:t>
      </w:r>
      <w:r w:rsidR="00063EC5" w:rsidRPr="001D2B4F">
        <w:t xml:space="preserve"> </w:t>
      </w:r>
      <w:r w:rsidR="00B44F4C" w:rsidRPr="001D2B4F">
        <w:t>%</w:t>
      </w:r>
      <w:r w:rsidR="004603BC" w:rsidRPr="001D2B4F">
        <w:t>;</w:t>
      </w:r>
    </w:p>
    <w:p w:rsidR="00B44F4C" w:rsidRPr="001D2B4F" w:rsidRDefault="00AE63B3" w:rsidP="00B44F4C">
      <w:pPr>
        <w:jc w:val="both"/>
      </w:pPr>
      <w:r w:rsidRPr="001D2B4F">
        <w:t>в</w:t>
      </w:r>
      <w:r w:rsidR="00791FA6">
        <w:t xml:space="preserve"> 2021</w:t>
      </w:r>
      <w:r w:rsidR="00B44F4C" w:rsidRPr="001D2B4F">
        <w:t xml:space="preserve"> год</w:t>
      </w:r>
      <w:r w:rsidRPr="001D2B4F">
        <w:t>у</w:t>
      </w:r>
      <w:r w:rsidR="003943A5" w:rsidRPr="001D2B4F">
        <w:t xml:space="preserve">  </w:t>
      </w:r>
      <w:r w:rsidR="00917585" w:rsidRPr="001D2B4F">
        <w:t xml:space="preserve"> </w:t>
      </w:r>
      <w:r w:rsidR="00157F2D">
        <w:t>86,1</w:t>
      </w:r>
      <w:r w:rsidR="00B44F4C" w:rsidRPr="001D2B4F">
        <w:t>%</w:t>
      </w:r>
      <w:r w:rsidR="004603BC" w:rsidRPr="001D2B4F">
        <w:t>.</w:t>
      </w:r>
    </w:p>
    <w:p w:rsidR="00565BE9" w:rsidRPr="001D2B4F" w:rsidRDefault="00565BE9" w:rsidP="000B04BF">
      <w:pPr>
        <w:ind w:firstLine="708"/>
        <w:jc w:val="both"/>
        <w:rPr>
          <w:b/>
          <w:bCs/>
        </w:rPr>
      </w:pPr>
    </w:p>
    <w:p w:rsidR="00DA6770" w:rsidRDefault="00565BE9" w:rsidP="004F7381">
      <w:pPr>
        <w:ind w:firstLine="708"/>
        <w:jc w:val="center"/>
        <w:rPr>
          <w:b/>
          <w:bCs/>
        </w:rPr>
      </w:pPr>
      <w:r w:rsidRPr="001D2B4F">
        <w:rPr>
          <w:b/>
          <w:bCs/>
        </w:rPr>
        <w:t>Муниципальная программа «Обеспечение безопасности населения и муниципального имущества на территории МО МР «Сыктывдинский»</w:t>
      </w:r>
    </w:p>
    <w:p w:rsidR="00DA6770" w:rsidRDefault="00565BE9" w:rsidP="004F7381">
      <w:pPr>
        <w:ind w:firstLine="708"/>
        <w:jc w:val="center"/>
        <w:rPr>
          <w:b/>
          <w:bCs/>
        </w:rPr>
      </w:pPr>
      <w:r w:rsidRPr="001D2B4F">
        <w:rPr>
          <w:b/>
          <w:bCs/>
        </w:rPr>
        <w:t xml:space="preserve"> на </w:t>
      </w:r>
      <w:r w:rsidR="005201FF">
        <w:rPr>
          <w:b/>
          <w:bCs/>
        </w:rPr>
        <w:t>2019-2021 годы</w:t>
      </w:r>
      <w:r w:rsidRPr="001D2B4F">
        <w:rPr>
          <w:b/>
          <w:bCs/>
        </w:rPr>
        <w:t>»</w:t>
      </w:r>
      <w:r w:rsidR="00DA6770">
        <w:rPr>
          <w:b/>
          <w:bCs/>
        </w:rPr>
        <w:t xml:space="preserve"> </w:t>
      </w:r>
    </w:p>
    <w:p w:rsidR="005B2FC2" w:rsidRPr="00DA6770" w:rsidRDefault="00DA6770" w:rsidP="00DA6770">
      <w:pPr>
        <w:ind w:firstLine="708"/>
        <w:jc w:val="right"/>
      </w:pPr>
      <w:r w:rsidRPr="00DA6770">
        <w:rPr>
          <w:bCs/>
        </w:rPr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1D2B4F" w:rsidTr="00D65F32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201FF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B1B24">
              <w:rPr>
                <w:b/>
                <w:bCs/>
              </w:rPr>
              <w:t>2</w:t>
            </w:r>
            <w:r w:rsidR="005201FF">
              <w:rPr>
                <w:b/>
                <w:bCs/>
              </w:rPr>
              <w:t>1</w:t>
            </w:r>
          </w:p>
        </w:tc>
      </w:tr>
      <w:tr w:rsidR="00624377" w:rsidRPr="001D2B4F" w:rsidTr="00DB1B24">
        <w:trPr>
          <w:trHeight w:val="7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377" w:rsidRPr="001D2B4F" w:rsidRDefault="00624377">
            <w:pPr>
              <w:rPr>
                <w:b/>
                <w:bCs/>
              </w:rPr>
            </w:pPr>
            <w:r w:rsidRPr="001D2B4F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A644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3F54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3F5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22  357,4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77" w:rsidRPr="00624377" w:rsidRDefault="003F54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21 929,3</w:t>
            </w:r>
          </w:p>
        </w:tc>
      </w:tr>
      <w:tr w:rsidR="00E70D58" w:rsidRPr="001D2B4F" w:rsidTr="00DB1B24">
        <w:trPr>
          <w:trHeight w:val="9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70D58" w:rsidRPr="001D2B4F" w:rsidRDefault="00E70D58" w:rsidP="00FB6B0F">
            <w:pPr>
              <w:outlineLvl w:val="0"/>
            </w:pPr>
            <w:r w:rsidRPr="001D2B4F">
              <w:t>Подпрограмма «Обеспечение первичных мер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  <w:outlineLvl w:val="0"/>
            </w:pPr>
            <w: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  <w:outlineLvl w:val="0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  <w:outlineLvl w:val="0"/>
            </w:pPr>
            <w:r>
              <w:t>200,0</w:t>
            </w:r>
          </w:p>
        </w:tc>
      </w:tr>
      <w:tr w:rsidR="00E70D58" w:rsidRPr="001D2B4F" w:rsidTr="00DB1B24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652AC" w:rsidRPr="000652AC" w:rsidRDefault="000652AC" w:rsidP="000652AC">
            <w:pPr>
              <w:rPr>
                <w:bCs/>
              </w:rPr>
            </w:pPr>
            <w:r w:rsidRPr="000652AC">
              <w:rPr>
                <w:bCs/>
              </w:rPr>
              <w:t>Подпрограмма «Отходы»</w:t>
            </w:r>
          </w:p>
          <w:p w:rsidR="00E70D58" w:rsidRPr="000652AC" w:rsidRDefault="00E70D5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</w:pPr>
            <w:r>
              <w:t>3</w:t>
            </w:r>
            <w:r w:rsidR="003F54F9">
              <w:t xml:space="preserve"> </w:t>
            </w:r>
            <w: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</w:pPr>
            <w:r>
              <w:t>3</w:t>
            </w:r>
            <w:r w:rsidR="003F54F9">
              <w:t xml:space="preserve"> </w:t>
            </w:r>
            <w: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58" w:rsidRPr="00624377" w:rsidRDefault="00A64412">
            <w:pPr>
              <w:jc w:val="right"/>
            </w:pPr>
            <w:r>
              <w:t>2</w:t>
            </w:r>
            <w:r w:rsidR="003F54F9">
              <w:t xml:space="preserve"> </w:t>
            </w:r>
            <w:r>
              <w:t>571,9</w:t>
            </w:r>
          </w:p>
        </w:tc>
      </w:tr>
      <w:tr w:rsidR="00624377" w:rsidRPr="001D2B4F" w:rsidTr="002A7C26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377" w:rsidRDefault="00624377">
            <w:r w:rsidRPr="001D2B4F">
              <w:t>Подпрограмма «Повышение безопасности дорожного движения»</w:t>
            </w:r>
          </w:p>
          <w:p w:rsidR="002A7C26" w:rsidRPr="001D2B4F" w:rsidRDefault="002A7C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A64412" w:rsidP="00624377">
            <w:pPr>
              <w:jc w:val="right"/>
              <w:rPr>
                <w:bCs/>
              </w:rPr>
            </w:pPr>
            <w:r>
              <w:rPr>
                <w:bCs/>
              </w:rPr>
              <w:t>33</w:t>
            </w:r>
            <w:r w:rsidR="003F54F9">
              <w:rPr>
                <w:bCs/>
              </w:rPr>
              <w:t xml:space="preserve"> </w:t>
            </w:r>
            <w:r>
              <w:rPr>
                <w:bCs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3F54F9" w:rsidP="00624377">
            <w:pPr>
              <w:jc w:val="right"/>
              <w:rPr>
                <w:bCs/>
              </w:rPr>
            </w:pPr>
            <w:r>
              <w:rPr>
                <w:bCs/>
              </w:rPr>
              <w:t>18 407,4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77" w:rsidRPr="00624377" w:rsidRDefault="003F54F9" w:rsidP="00624377">
            <w:pPr>
              <w:jc w:val="right"/>
              <w:rPr>
                <w:bCs/>
              </w:rPr>
            </w:pPr>
            <w:r>
              <w:rPr>
                <w:bCs/>
              </w:rPr>
              <w:t>18 407,4</w:t>
            </w:r>
          </w:p>
        </w:tc>
      </w:tr>
      <w:tr w:rsidR="00CD2CC6" w:rsidRPr="001D2B4F" w:rsidTr="002A7C26">
        <w:trPr>
          <w:trHeight w:val="82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0652AC" w:rsidRDefault="00CD2CC6" w:rsidP="00CD2CC6">
            <w:pPr>
              <w:rPr>
                <w:bCs/>
              </w:rPr>
            </w:pPr>
            <w:r w:rsidRPr="000652AC">
              <w:rPr>
                <w:bCs/>
              </w:rPr>
              <w:t>Подпрограмма «</w:t>
            </w:r>
            <w:r>
              <w:rPr>
                <w:bCs/>
              </w:rPr>
              <w:t>Правопорядок</w:t>
            </w:r>
            <w:r w:rsidRPr="000652AC">
              <w:rPr>
                <w:bCs/>
              </w:rPr>
              <w:t>»</w:t>
            </w:r>
          </w:p>
          <w:p w:rsidR="00CD2CC6" w:rsidRPr="001D2B4F" w:rsidRDefault="00CD2CC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624377" w:rsidRDefault="00A64412">
            <w:pPr>
              <w:jc w:val="right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624377" w:rsidRDefault="00A64412">
            <w:pPr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C6" w:rsidRPr="00624377" w:rsidRDefault="00A64412">
            <w:pPr>
              <w:jc w:val="right"/>
            </w:pPr>
            <w:r>
              <w:t>200,0</w:t>
            </w:r>
          </w:p>
        </w:tc>
      </w:tr>
      <w:tr w:rsidR="00A64412" w:rsidRPr="001D2B4F" w:rsidTr="002A7C26">
        <w:trPr>
          <w:trHeight w:val="82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4412" w:rsidRPr="000652AC" w:rsidRDefault="00577BF9" w:rsidP="00CD2CC6">
            <w:pPr>
              <w:rPr>
                <w:bCs/>
              </w:rPr>
            </w:pPr>
            <w:r>
              <w:rPr>
                <w:bCs/>
              </w:rPr>
              <w:t>Подпрограмма «Профилактика терроризма и экстр</w:t>
            </w:r>
            <w:r w:rsidR="00033C6B">
              <w:rPr>
                <w:bCs/>
              </w:rPr>
              <w:t>е</w:t>
            </w:r>
            <w:r>
              <w:rPr>
                <w:bCs/>
              </w:rPr>
              <w:t>мизма»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4412" w:rsidRDefault="005E25E4">
            <w:pPr>
              <w:jc w:val="right"/>
            </w:pPr>
            <w: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4412" w:rsidRDefault="005E25E4">
            <w:pPr>
              <w:jc w:val="right"/>
            </w:pPr>
            <w: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12" w:rsidRDefault="005E25E4">
            <w:pPr>
              <w:jc w:val="right"/>
            </w:pPr>
            <w:r>
              <w:t>550,0</w:t>
            </w:r>
          </w:p>
        </w:tc>
      </w:tr>
    </w:tbl>
    <w:p w:rsidR="001D2B4F" w:rsidRPr="00996478" w:rsidRDefault="00E53545" w:rsidP="00996478">
      <w:pPr>
        <w:ind w:firstLine="708"/>
        <w:jc w:val="both"/>
      </w:pPr>
      <w:r w:rsidRPr="00996478">
        <w:t>Наиболее  объемной является подпрограмма «Повышение безопасности дорожного движения», так как в данные расходы входит муниципальный дорожный фонд.</w:t>
      </w:r>
      <w:r w:rsidR="001D2B4F" w:rsidRPr="00996478">
        <w:t xml:space="preserve"> Объем муницип</w:t>
      </w:r>
      <w:r w:rsidR="00996478" w:rsidRPr="00996478">
        <w:t xml:space="preserve">ального дорожного фонда </w:t>
      </w:r>
      <w:r w:rsidR="001D2B4F" w:rsidRPr="00996478">
        <w:t>на 201</w:t>
      </w:r>
      <w:r w:rsidR="00996478" w:rsidRPr="00996478">
        <w:t>9</w:t>
      </w:r>
      <w:r w:rsidR="001D2B4F" w:rsidRPr="00996478">
        <w:t xml:space="preserve"> год  </w:t>
      </w:r>
      <w:r w:rsidR="00996478">
        <w:t>33131,0</w:t>
      </w:r>
      <w:r w:rsidR="001D2B4F" w:rsidRPr="00996478">
        <w:t xml:space="preserve">  тыс.руб. (из них за счет акциз</w:t>
      </w:r>
      <w:r w:rsidR="00BB1E04" w:rsidRPr="00996478">
        <w:t>ов</w:t>
      </w:r>
      <w:r w:rsidR="001D2B4F" w:rsidRPr="00996478">
        <w:t xml:space="preserve"> </w:t>
      </w:r>
      <w:r w:rsidR="00554E47" w:rsidRPr="00996478">
        <w:t>1</w:t>
      </w:r>
      <w:r w:rsidR="00996478">
        <w:t>8377,4</w:t>
      </w:r>
      <w:r w:rsidR="007F16EF" w:rsidRPr="00996478">
        <w:t xml:space="preserve"> тыс.руб.</w:t>
      </w:r>
      <w:r w:rsidR="001D2B4F" w:rsidRPr="00996478">
        <w:t xml:space="preserve">, субсидий по переданным из РК дорогам </w:t>
      </w:r>
      <w:r w:rsidR="00996478">
        <w:t>14 753,6</w:t>
      </w:r>
      <w:r w:rsidR="007F16EF" w:rsidRPr="00996478">
        <w:t xml:space="preserve"> тыс.руб.</w:t>
      </w:r>
      <w:r w:rsidR="001D2B4F" w:rsidRPr="00996478">
        <w:t>);</w:t>
      </w:r>
    </w:p>
    <w:p w:rsidR="004E3893" w:rsidRPr="00996478" w:rsidRDefault="00996478" w:rsidP="004E3893">
      <w:pPr>
        <w:jc w:val="both"/>
      </w:pPr>
      <w:r>
        <w:t>на 2020-2021</w:t>
      </w:r>
      <w:r w:rsidR="001D2B4F" w:rsidRPr="00996478">
        <w:t xml:space="preserve"> год</w:t>
      </w:r>
      <w:r>
        <w:t>ы</w:t>
      </w:r>
      <w:r w:rsidR="001D2B4F" w:rsidRPr="00996478">
        <w:t xml:space="preserve">  </w:t>
      </w:r>
      <w:r w:rsidR="003F54F9">
        <w:t xml:space="preserve">по </w:t>
      </w:r>
      <w:r w:rsidR="00022526">
        <w:t>18377,4 тыс.руб. (</w:t>
      </w:r>
      <w:r w:rsidR="001D2B4F" w:rsidRPr="00996478">
        <w:t>акцизы);</w:t>
      </w:r>
      <w:r w:rsidR="004E3893" w:rsidRPr="00996478">
        <w:t xml:space="preserve"> </w:t>
      </w:r>
    </w:p>
    <w:p w:rsidR="004E3893" w:rsidRPr="00996478" w:rsidRDefault="004E3893" w:rsidP="005F41F1">
      <w:pPr>
        <w:ind w:firstLine="708"/>
        <w:jc w:val="both"/>
      </w:pPr>
      <w:r w:rsidRPr="00996478">
        <w:t>Основное значимое мероприятие</w:t>
      </w:r>
      <w:r w:rsidR="00196E8C" w:rsidRPr="00996478">
        <w:t xml:space="preserve"> подпрограммы</w:t>
      </w:r>
      <w:r w:rsidR="008F2761" w:rsidRPr="00996478">
        <w:t xml:space="preserve"> - содержание дорог</w:t>
      </w:r>
      <w:r w:rsidR="00954FE2">
        <w:t xml:space="preserve"> (5470</w:t>
      </w:r>
      <w:r w:rsidR="007F16EF" w:rsidRPr="00996478">
        <w:t xml:space="preserve"> тыс.руб), на капитальный ремонт дорог планируется 3</w:t>
      </w:r>
      <w:r w:rsidR="00954FE2">
        <w:t>708,4</w:t>
      </w:r>
      <w:r w:rsidR="007F16EF" w:rsidRPr="00996478">
        <w:t xml:space="preserve"> тыс.руб., на реализацию народных проектов в сфере дорожной деятельности – 3</w:t>
      </w:r>
      <w:r w:rsidR="00954FE2">
        <w:t>280</w:t>
      </w:r>
      <w:r w:rsidR="007F16EF" w:rsidRPr="00996478">
        <w:t xml:space="preserve"> тыс.руб.</w:t>
      </w:r>
    </w:p>
    <w:p w:rsidR="00E15DA5" w:rsidRDefault="00E15DA5" w:rsidP="004E3893">
      <w:pPr>
        <w:jc w:val="both"/>
      </w:pPr>
    </w:p>
    <w:p w:rsidR="000652AC" w:rsidRPr="001D2B4F" w:rsidRDefault="000652AC" w:rsidP="004E3893">
      <w:pPr>
        <w:jc w:val="both"/>
      </w:pPr>
      <w:r w:rsidRPr="00954FE2">
        <w:t>По П</w:t>
      </w:r>
      <w:r w:rsidR="00833D26">
        <w:t>одп</w:t>
      </w:r>
      <w:r w:rsidRPr="00954FE2">
        <w:t xml:space="preserve">рограмме «Отходы» </w:t>
      </w:r>
      <w:r w:rsidR="0096431B" w:rsidRPr="00954FE2">
        <w:t xml:space="preserve">основное </w:t>
      </w:r>
      <w:r w:rsidR="00954FE2" w:rsidRPr="00954FE2">
        <w:t>мероприятие - ликвидация свалок</w:t>
      </w:r>
      <w:r w:rsidR="00431D82">
        <w:t>.</w:t>
      </w:r>
    </w:p>
    <w:p w:rsidR="001D2B4F" w:rsidRPr="001D2B4F" w:rsidRDefault="001D2B4F" w:rsidP="004E3893">
      <w:pPr>
        <w:jc w:val="both"/>
      </w:pPr>
    </w:p>
    <w:p w:rsidR="00E70D58" w:rsidRDefault="00E70D58" w:rsidP="000B04BF">
      <w:pPr>
        <w:ind w:firstLine="708"/>
        <w:jc w:val="both"/>
      </w:pPr>
    </w:p>
    <w:p w:rsidR="00E70D58" w:rsidRDefault="00196E8C" w:rsidP="004F7381">
      <w:pPr>
        <w:ind w:firstLine="708"/>
        <w:jc w:val="center"/>
        <w:rPr>
          <w:b/>
          <w:bCs/>
        </w:rPr>
      </w:pPr>
      <w:r>
        <w:rPr>
          <w:b/>
          <w:bCs/>
        </w:rPr>
        <w:t>М</w:t>
      </w:r>
      <w:r w:rsidR="00565BE9" w:rsidRPr="00463C4C">
        <w:rPr>
          <w:b/>
          <w:bCs/>
        </w:rPr>
        <w:t xml:space="preserve">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на </w:t>
      </w:r>
      <w:r w:rsidR="005201FF">
        <w:rPr>
          <w:b/>
          <w:bCs/>
        </w:rPr>
        <w:t>2019-</w:t>
      </w:r>
      <w:r w:rsidR="00565BE9" w:rsidRPr="00463C4C">
        <w:rPr>
          <w:b/>
          <w:bCs/>
        </w:rPr>
        <w:t xml:space="preserve"> 202</w:t>
      </w:r>
      <w:r w:rsidR="005201FF">
        <w:rPr>
          <w:b/>
          <w:bCs/>
        </w:rPr>
        <w:t>1</w:t>
      </w:r>
      <w:r w:rsidR="00565BE9" w:rsidRPr="00463C4C">
        <w:rPr>
          <w:b/>
          <w:bCs/>
        </w:rPr>
        <w:t xml:space="preserve"> год</w:t>
      </w:r>
      <w:r w:rsidR="005201FF">
        <w:rPr>
          <w:b/>
          <w:bCs/>
        </w:rPr>
        <w:t>ы</w:t>
      </w:r>
      <w:r w:rsidR="00565BE9" w:rsidRPr="00463C4C">
        <w:rPr>
          <w:b/>
          <w:bCs/>
        </w:rPr>
        <w:t>»</w:t>
      </w:r>
    </w:p>
    <w:p w:rsidR="00DA6770" w:rsidRPr="00DA6770" w:rsidRDefault="00DA6770" w:rsidP="00DA6770">
      <w:pPr>
        <w:ind w:firstLine="708"/>
        <w:jc w:val="right"/>
      </w:pPr>
      <w:r w:rsidRPr="00DA6770">
        <w:rPr>
          <w:bCs/>
        </w:rPr>
        <w:t>Тыс.руб.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840"/>
        <w:gridCol w:w="1620"/>
        <w:gridCol w:w="1620"/>
        <w:gridCol w:w="1620"/>
      </w:tblGrid>
      <w:tr w:rsidR="00D65F32" w:rsidRPr="00463C4C" w:rsidTr="00565BE9">
        <w:trPr>
          <w:trHeight w:val="6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Default="00D65F3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201FF">
              <w:rPr>
                <w:b/>
                <w:bCs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94B27">
              <w:rPr>
                <w:b/>
                <w:bCs/>
              </w:rPr>
              <w:t>2</w:t>
            </w:r>
            <w:r w:rsidR="005201FF">
              <w:rPr>
                <w:b/>
                <w:bCs/>
              </w:rPr>
              <w:t>1</w:t>
            </w:r>
          </w:p>
        </w:tc>
      </w:tr>
      <w:tr w:rsidR="00855101" w:rsidRPr="00463C4C" w:rsidTr="00494B27">
        <w:trPr>
          <w:trHeight w:val="6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3F3395" w:rsidRDefault="00C737E1">
            <w:pPr>
              <w:jc w:val="right"/>
              <w:rPr>
                <w:b/>
                <w:bCs/>
              </w:rPr>
            </w:pPr>
            <w:r w:rsidRPr="003F3395">
              <w:rPr>
                <w:b/>
                <w:bCs/>
              </w:rPr>
              <w:t>51</w:t>
            </w:r>
            <w:r w:rsidR="009D6C61">
              <w:rPr>
                <w:b/>
                <w:bCs/>
              </w:rPr>
              <w:t xml:space="preserve"> </w:t>
            </w:r>
            <w:r w:rsidRPr="003F3395">
              <w:rPr>
                <w:b/>
                <w:bCs/>
              </w:rPr>
              <w:t>823,7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3F3395" w:rsidRDefault="00C737E1">
            <w:pPr>
              <w:jc w:val="right"/>
              <w:rPr>
                <w:b/>
                <w:bCs/>
              </w:rPr>
            </w:pPr>
            <w:r w:rsidRPr="003F3395">
              <w:rPr>
                <w:b/>
                <w:bCs/>
              </w:rPr>
              <w:t>17</w:t>
            </w:r>
            <w:r w:rsidR="009D6C61">
              <w:rPr>
                <w:b/>
                <w:bCs/>
              </w:rPr>
              <w:t xml:space="preserve"> </w:t>
            </w:r>
            <w:r w:rsidRPr="003F3395">
              <w:rPr>
                <w:b/>
                <w:bCs/>
              </w:rPr>
              <w:t>458,9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3F3395" w:rsidRDefault="00C737E1">
            <w:pPr>
              <w:jc w:val="right"/>
              <w:rPr>
                <w:b/>
                <w:bCs/>
              </w:rPr>
            </w:pPr>
            <w:r w:rsidRPr="003F3395">
              <w:rPr>
                <w:b/>
                <w:bCs/>
              </w:rPr>
              <w:t>18</w:t>
            </w:r>
            <w:r w:rsidR="009D6C61">
              <w:rPr>
                <w:b/>
                <w:bCs/>
              </w:rPr>
              <w:t xml:space="preserve"> </w:t>
            </w:r>
            <w:r w:rsidRPr="003F3395">
              <w:rPr>
                <w:b/>
                <w:bCs/>
              </w:rPr>
              <w:t>432,8</w:t>
            </w:r>
          </w:p>
        </w:tc>
      </w:tr>
      <w:tr w:rsidR="00855101" w:rsidRPr="00463C4C" w:rsidTr="00494B2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pPr>
              <w:outlineLvl w:val="0"/>
            </w:pPr>
            <w:r w:rsidRPr="00463C4C">
              <w:t>Подпрограмма</w:t>
            </w:r>
            <w:r>
              <w:t xml:space="preserve"> «</w:t>
            </w:r>
            <w:r w:rsidRPr="00463C4C">
              <w:t>Комплексное развитие коммунальной инфраструктуры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45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548,9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188,9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162,8</w:t>
            </w:r>
          </w:p>
        </w:tc>
      </w:tr>
      <w:tr w:rsidR="00855101" w:rsidRPr="00463C4C" w:rsidTr="00494B27">
        <w:trPr>
          <w:trHeight w:val="8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lastRenderedPageBreak/>
              <w:t>Подпрограмма «Энергосбережение и повышение энергоэффективности»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C737E1" w:rsidRPr="00463C4C" w:rsidTr="00494B27">
        <w:trPr>
          <w:trHeight w:val="8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7E1" w:rsidRPr="00463C4C" w:rsidRDefault="00C737E1" w:rsidP="00FB6B0F">
            <w:r>
              <w:t>Подпрограмма «Переселение граждан из аварийного и ветхого жилья</w:t>
            </w:r>
            <w:r w:rsidR="00FB6B0F" w:rsidRPr="00C737E1">
              <w:t xml:space="preserve"> </w:t>
            </w:r>
            <w:r w:rsidRPr="00C737E1"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7E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37E1" w:rsidRDefault="00C737E1">
            <w:pPr>
              <w:jc w:val="right"/>
              <w:outlineLvl w:val="0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7E1" w:rsidRDefault="00C737E1">
            <w:pPr>
              <w:jc w:val="right"/>
              <w:outlineLvl w:val="0"/>
              <w:rPr>
                <w:bCs/>
              </w:rPr>
            </w:pPr>
          </w:p>
        </w:tc>
      </w:tr>
      <w:tr w:rsidR="00855101" w:rsidRPr="00463C4C" w:rsidTr="00494B27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>Подпрограмма «Устойчивое развитие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704,8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C737E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200,0</w:t>
            </w:r>
          </w:p>
        </w:tc>
      </w:tr>
    </w:tbl>
    <w:p w:rsidR="00521DB8" w:rsidRDefault="00F65AFD" w:rsidP="000D63D1">
      <w:pPr>
        <w:ind w:firstLine="708"/>
        <w:jc w:val="both"/>
      </w:pPr>
      <w:r w:rsidRPr="006E617C">
        <w:t xml:space="preserve">По </w:t>
      </w:r>
      <w:r w:rsidR="008503C9">
        <w:t>п</w:t>
      </w:r>
      <w:r w:rsidRPr="006E617C">
        <w:t xml:space="preserve">одпрограмме </w:t>
      </w:r>
      <w:r w:rsidR="00523DD6" w:rsidRPr="006E617C">
        <w:t>«</w:t>
      </w:r>
      <w:r w:rsidRPr="006E617C">
        <w:t>Комплексное развитие коммунальной инфрас</w:t>
      </w:r>
      <w:r w:rsidR="00523DD6" w:rsidRPr="006E617C">
        <w:t>труктуры»</w:t>
      </w:r>
      <w:r w:rsidR="00521DB8">
        <w:t xml:space="preserve"> предусмотрены расходы </w:t>
      </w:r>
      <w:proofErr w:type="gramStart"/>
      <w:r w:rsidR="00521DB8">
        <w:t>на</w:t>
      </w:r>
      <w:proofErr w:type="gramEnd"/>
    </w:p>
    <w:p w:rsidR="00521DB8" w:rsidRDefault="00E90BE0" w:rsidP="000D63D1">
      <w:pPr>
        <w:ind w:firstLine="708"/>
        <w:jc w:val="both"/>
      </w:pPr>
      <w:r w:rsidRPr="006E617C">
        <w:t>–</w:t>
      </w:r>
      <w:r w:rsidR="00B96B58">
        <w:t xml:space="preserve"> к</w:t>
      </w:r>
      <w:r w:rsidR="00B96B58" w:rsidRPr="00B96B58">
        <w:t>апитальный ремонт и ремонт объектов коммунального хозяйства</w:t>
      </w:r>
      <w:r w:rsidR="000D63D1">
        <w:t xml:space="preserve"> -</w:t>
      </w:r>
      <w:r w:rsidR="009E362F" w:rsidRPr="006E617C">
        <w:t xml:space="preserve"> </w:t>
      </w:r>
      <w:r w:rsidR="00B96B58">
        <w:t>10000 тыс.руб.</w:t>
      </w:r>
      <w:r w:rsidR="000D63D1">
        <w:t>,</w:t>
      </w:r>
    </w:p>
    <w:p w:rsidR="00521DB8" w:rsidRDefault="00521DB8" w:rsidP="000D63D1">
      <w:pPr>
        <w:ind w:firstLine="708"/>
        <w:jc w:val="both"/>
      </w:pPr>
      <w:r>
        <w:t>-</w:t>
      </w:r>
      <w:r w:rsidR="000D63D1" w:rsidRPr="000D63D1">
        <w:t xml:space="preserve"> </w:t>
      </w:r>
      <w:r w:rsidR="007525D0">
        <w:t>планировк</w:t>
      </w:r>
      <w:r>
        <w:t>у</w:t>
      </w:r>
      <w:r w:rsidR="007525D0">
        <w:t xml:space="preserve"> территорий по паевым землям 400 тыс.руб., </w:t>
      </w:r>
    </w:p>
    <w:p w:rsidR="00521DB8" w:rsidRDefault="00521DB8" w:rsidP="000D63D1">
      <w:pPr>
        <w:ind w:firstLine="708"/>
        <w:jc w:val="both"/>
      </w:pPr>
      <w:r>
        <w:t>-</w:t>
      </w:r>
      <w:proofErr w:type="gramStart"/>
      <w:r w:rsidR="007525D0">
        <w:t>строительство канализации к детскому саду с.Выльгорт включая</w:t>
      </w:r>
      <w:proofErr w:type="gramEnd"/>
      <w:r w:rsidR="007525D0">
        <w:t xml:space="preserve"> ПСД 20000 тыс.руб., с.Часово 4000 тыс.руб.</w:t>
      </w:r>
      <w:r w:rsidR="0091349A">
        <w:t>,</w:t>
      </w:r>
      <w:r w:rsidR="007525D0">
        <w:t xml:space="preserve"> </w:t>
      </w:r>
    </w:p>
    <w:p w:rsidR="00F65AFD" w:rsidRDefault="00521DB8" w:rsidP="000D63D1">
      <w:pPr>
        <w:ind w:firstLine="708"/>
        <w:jc w:val="both"/>
      </w:pPr>
      <w:r>
        <w:t>-</w:t>
      </w:r>
      <w:r w:rsidR="0091349A">
        <w:t>в</w:t>
      </w:r>
      <w:r w:rsidR="0091349A" w:rsidRPr="0091349A">
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 w:rsidR="0091349A">
        <w:t xml:space="preserve"> 11 148,9 тыс.руб.</w:t>
      </w:r>
    </w:p>
    <w:p w:rsidR="00521DB8" w:rsidRDefault="00521DB8" w:rsidP="000D63D1">
      <w:pPr>
        <w:ind w:firstLine="708"/>
        <w:jc w:val="both"/>
      </w:pPr>
      <w:r>
        <w:t>По п</w:t>
      </w:r>
      <w:r w:rsidRPr="00463C4C">
        <w:t>одпрограмм</w:t>
      </w:r>
      <w:r>
        <w:t>е</w:t>
      </w:r>
      <w:r w:rsidRPr="00463C4C">
        <w:t xml:space="preserve"> «Энергосбережение и повышение энергоэффективности»</w:t>
      </w:r>
      <w:r>
        <w:t xml:space="preserve"> предусмотрены расходы на в</w:t>
      </w:r>
      <w:r w:rsidRPr="00521DB8">
        <w:t>недрение энергосберегающих технологий, оборудования и материалов в бюджетной сфере</w:t>
      </w:r>
      <w:r>
        <w:t>,</w:t>
      </w:r>
    </w:p>
    <w:p w:rsidR="000B4058" w:rsidRPr="006E617C" w:rsidRDefault="000B4058" w:rsidP="000D63D1">
      <w:pPr>
        <w:ind w:firstLine="708"/>
        <w:jc w:val="both"/>
      </w:pPr>
      <w:r w:rsidRPr="006E617C">
        <w:t xml:space="preserve">По </w:t>
      </w:r>
      <w:r w:rsidR="008503C9">
        <w:t>п</w:t>
      </w:r>
      <w:r w:rsidRPr="006E617C">
        <w:t>одпрограмм</w:t>
      </w:r>
      <w:r w:rsidR="00943DE3">
        <w:t>е</w:t>
      </w:r>
      <w:r>
        <w:t xml:space="preserve"> «Переселение граждан из аварийного и ветхого жилья</w:t>
      </w:r>
      <w:r w:rsidR="00521DB8">
        <w:t>»</w:t>
      </w:r>
      <w:r>
        <w:t xml:space="preserve"> запланировано 1500 тыс.руб. на снос домов по 5 этапу.</w:t>
      </w:r>
    </w:p>
    <w:p w:rsidR="00867A2D" w:rsidRDefault="008503C9" w:rsidP="000B04BF">
      <w:pPr>
        <w:ind w:firstLine="708"/>
        <w:jc w:val="both"/>
      </w:pPr>
      <w:r>
        <w:t>По п</w:t>
      </w:r>
      <w:r w:rsidR="00E678DE" w:rsidRPr="006E617C">
        <w:t>одпрограмме «Устойчивое развитие сельских территорий»</w:t>
      </w:r>
      <w:r w:rsidR="00810E29" w:rsidRPr="006E617C">
        <w:t xml:space="preserve"> </w:t>
      </w:r>
      <w:r w:rsidR="00C45F58" w:rsidRPr="006E617C">
        <w:t xml:space="preserve">основное мероприятие </w:t>
      </w:r>
      <w:r w:rsidR="00810E29" w:rsidRPr="006E617C">
        <w:t>- содержание газопроводов</w:t>
      </w:r>
      <w:r w:rsidR="00496AE6">
        <w:t xml:space="preserve"> 2400 тыс.руб.,  </w:t>
      </w:r>
      <w:r w:rsidR="00E36E2D">
        <w:t>с</w:t>
      </w:r>
      <w:r w:rsidR="00496AE6">
        <w:t xml:space="preserve">троительство газопроводов с.Выльгорт 13км и </w:t>
      </w:r>
      <w:proofErr w:type="spellStart"/>
      <w:r w:rsidR="00496AE6">
        <w:t>д</w:t>
      </w:r>
      <w:proofErr w:type="gramStart"/>
      <w:r w:rsidR="00496AE6">
        <w:t>.Г</w:t>
      </w:r>
      <w:proofErr w:type="gramEnd"/>
      <w:r w:rsidR="00496AE6">
        <w:t>авриловка</w:t>
      </w:r>
      <w:proofErr w:type="spellEnd"/>
      <w:r w:rsidR="0068675E">
        <w:t xml:space="preserve"> </w:t>
      </w:r>
      <w:r w:rsidR="00496AE6">
        <w:t xml:space="preserve"> -1100 тыс.руб., </w:t>
      </w:r>
      <w:r w:rsidR="00855672">
        <w:t>п</w:t>
      </w:r>
      <w:r w:rsidR="00496AE6">
        <w:t>окрас</w:t>
      </w:r>
      <w:r w:rsidR="006A30D2">
        <w:t>ка сетей газоснабжения с.</w:t>
      </w:r>
      <w:r w:rsidR="005F6810">
        <w:t>Выльгорт</w:t>
      </w:r>
      <w:r w:rsidR="00855672">
        <w:t xml:space="preserve"> 500</w:t>
      </w:r>
      <w:r w:rsidR="006A30D2">
        <w:t xml:space="preserve"> тыс.руб.</w:t>
      </w:r>
      <w:r w:rsidR="00855672">
        <w:t xml:space="preserve">, </w:t>
      </w:r>
      <w:r w:rsidR="00943DE3">
        <w:t xml:space="preserve">изготовление </w:t>
      </w:r>
      <w:r w:rsidR="00855672">
        <w:t xml:space="preserve">ПСД сетей </w:t>
      </w:r>
      <w:r w:rsidR="0091349A">
        <w:t>с.</w:t>
      </w:r>
      <w:r w:rsidR="00855672">
        <w:t>Часово 704,8 тыс.руб.</w:t>
      </w:r>
    </w:p>
    <w:p w:rsidR="006A30D2" w:rsidRDefault="006A30D2" w:rsidP="000B04BF">
      <w:pPr>
        <w:ind w:firstLine="708"/>
        <w:jc w:val="both"/>
        <w:rPr>
          <w:b/>
        </w:rPr>
      </w:pPr>
    </w:p>
    <w:p w:rsidR="005B2FC2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 xml:space="preserve">Муниципальная программа МО МР «Сыктывдинский» «Развитие муниципального управления» на </w:t>
      </w:r>
      <w:r w:rsidR="005201FF">
        <w:rPr>
          <w:b/>
        </w:rPr>
        <w:t>2019-2021</w:t>
      </w:r>
      <w:r w:rsidRPr="00565BE9">
        <w:rPr>
          <w:b/>
        </w:rPr>
        <w:t xml:space="preserve"> год</w:t>
      </w:r>
      <w:r w:rsidR="005201FF">
        <w:rPr>
          <w:b/>
        </w:rPr>
        <w:t>ы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800"/>
        <w:gridCol w:w="1620"/>
        <w:gridCol w:w="1620"/>
        <w:gridCol w:w="1620"/>
      </w:tblGrid>
      <w:tr w:rsidR="00D65F32" w:rsidRPr="00463C4C" w:rsidTr="00C05C30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5201FF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Default="00494B27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201FF">
              <w:rPr>
                <w:b/>
                <w:bCs/>
              </w:rPr>
              <w:t>1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</w:tr>
      <w:tr w:rsidR="00855101" w:rsidRPr="00463C4C" w:rsidTr="00494B27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565BE9" w:rsidRDefault="0085510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10</w:t>
            </w:r>
            <w:r w:rsidR="009D6C61">
              <w:rPr>
                <w:b/>
                <w:bCs/>
              </w:rPr>
              <w:t xml:space="preserve"> </w:t>
            </w:r>
            <w:r w:rsidRPr="00F66741">
              <w:rPr>
                <w:b/>
                <w:bCs/>
              </w:rPr>
              <w:t>415,6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10</w:t>
            </w:r>
            <w:r w:rsidR="009D6C61">
              <w:rPr>
                <w:b/>
                <w:bCs/>
              </w:rPr>
              <w:t xml:space="preserve"> </w:t>
            </w:r>
            <w:r w:rsidRPr="00F66741">
              <w:rPr>
                <w:b/>
                <w:bCs/>
              </w:rPr>
              <w:t>459,4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10</w:t>
            </w:r>
            <w:r w:rsidR="009D6C61">
              <w:rPr>
                <w:b/>
                <w:bCs/>
              </w:rPr>
              <w:t xml:space="preserve"> </w:t>
            </w:r>
            <w:r w:rsidRPr="00F66741">
              <w:rPr>
                <w:b/>
                <w:bCs/>
              </w:rPr>
              <w:t>459,4</w:t>
            </w:r>
          </w:p>
        </w:tc>
      </w:tr>
      <w:tr w:rsidR="00855101" w:rsidRPr="00463C4C" w:rsidTr="00494B27">
        <w:trPr>
          <w:trHeight w:val="6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pPr>
              <w:rPr>
                <w:bCs/>
              </w:rPr>
            </w:pPr>
            <w:r w:rsidRPr="00463C4C">
              <w:rPr>
                <w:bCs/>
              </w:rPr>
              <w:t>Подпрограмма «Формирование и развитие кадрового состава органов местного самоуправления»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855101" w:rsidRPr="00463C4C" w:rsidTr="00494B27">
        <w:trPr>
          <w:trHeight w:val="6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</w:t>
            </w:r>
            <w:r>
              <w:t xml:space="preserve"> «</w:t>
            </w:r>
            <w:r w:rsidRPr="00463C4C">
              <w:t>Управление муниципальными финансами и муниципальным долгом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615,6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 w:rsidP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659,4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9D6C61">
              <w:rPr>
                <w:bCs/>
              </w:rPr>
              <w:t xml:space="preserve"> </w:t>
            </w:r>
            <w:r>
              <w:rPr>
                <w:bCs/>
              </w:rPr>
              <w:t>659,4</w:t>
            </w:r>
          </w:p>
        </w:tc>
      </w:tr>
      <w:tr w:rsidR="00855101" w:rsidRPr="00463C4C" w:rsidTr="00494B27">
        <w:trPr>
          <w:trHeight w:val="6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r w:rsidRPr="00463C4C">
              <w:t>Подпрограмма «Управление муниципальным имуществом и закупками»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55101" w:rsidRPr="00463C4C" w:rsidTr="00494B27">
        <w:trPr>
          <w:trHeight w:val="4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Электронный муниципалитет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C05C30" w:rsidRDefault="00D2389E" w:rsidP="00D2389E">
      <w:pPr>
        <w:ind w:firstLine="708"/>
        <w:jc w:val="both"/>
      </w:pPr>
      <w:r w:rsidRPr="00463C4C">
        <w:rPr>
          <w:bCs/>
        </w:rPr>
        <w:t>Подпрограмма «Формирование и развитие кадрового состава»</w:t>
      </w:r>
      <w:r>
        <w:rPr>
          <w:bCs/>
        </w:rPr>
        <w:t xml:space="preserve"> предусматривает ассигнования на организацию обучения специалистов органов местного самоуправления.</w:t>
      </w:r>
    </w:p>
    <w:p w:rsidR="0096431B" w:rsidRDefault="00D2389E" w:rsidP="000B04BF">
      <w:pPr>
        <w:ind w:firstLine="708"/>
        <w:jc w:val="both"/>
      </w:pPr>
      <w:r w:rsidRPr="00463C4C">
        <w:t>Подпрограмма</w:t>
      </w:r>
      <w:r>
        <w:t xml:space="preserve"> «</w:t>
      </w:r>
      <w:r w:rsidRPr="00463C4C">
        <w:t>Управление муниципальными финансами и муниципальным долгом</w:t>
      </w:r>
      <w:r>
        <w:t>» предусматривает расходы на содержание финансового органа и расходы на обслуживание муниципального долга МО МР «Сыктывдинский».</w:t>
      </w:r>
    </w:p>
    <w:p w:rsidR="00D2389E" w:rsidRDefault="00D2389E" w:rsidP="000B04BF">
      <w:pPr>
        <w:ind w:firstLine="708"/>
        <w:jc w:val="both"/>
      </w:pPr>
      <w:r w:rsidRPr="00463C4C">
        <w:t>Подпрограмма «Управление муниципальным имуществом и закупками»</w:t>
      </w:r>
      <w:r>
        <w:t xml:space="preserve"> предусматривает расходы на организацию технической инвентаризации и паспортизации объектов недвижимого имущества, проведения кадастровых работ для учета в ЕГРН </w:t>
      </w:r>
      <w:r>
        <w:lastRenderedPageBreak/>
        <w:t>земельных участков, проведение приватизации муниципального имущества, предоставление земельных участков в аренду, постоянное (бессрочное) пользование, безвозмездное срочное пользование.</w:t>
      </w:r>
    </w:p>
    <w:p w:rsidR="00D2389E" w:rsidRDefault="00D2389E" w:rsidP="000B04BF">
      <w:pPr>
        <w:ind w:firstLine="708"/>
        <w:jc w:val="both"/>
      </w:pPr>
      <w:r w:rsidRPr="00463C4C">
        <w:t xml:space="preserve">Подпрограмма </w:t>
      </w:r>
      <w:r>
        <w:t>«</w:t>
      </w:r>
      <w:r w:rsidRPr="00463C4C">
        <w:t>Электронный муниципалитет</w:t>
      </w:r>
      <w:r>
        <w:t>» предусматривает расходы на автоматизацию</w:t>
      </w:r>
      <w:r w:rsidRPr="00D2389E">
        <w:t xml:space="preserve"> и модернизаци</w:t>
      </w:r>
      <w:r>
        <w:t>ю</w:t>
      </w:r>
      <w:r w:rsidRPr="00D2389E">
        <w:t xml:space="preserve"> рабочих мест специалистов</w:t>
      </w:r>
      <w:r>
        <w:t>.</w:t>
      </w:r>
    </w:p>
    <w:p w:rsidR="00D2389E" w:rsidRPr="00463C4C" w:rsidRDefault="00D2389E" w:rsidP="000B04BF">
      <w:pPr>
        <w:ind w:firstLine="708"/>
        <w:jc w:val="both"/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>Муниципальная программа муниципального образования муниципального района</w:t>
      </w:r>
      <w:r w:rsidR="00523DD6">
        <w:rPr>
          <w:b/>
        </w:rPr>
        <w:t xml:space="preserve"> «Сыктывдинский»</w:t>
      </w:r>
      <w:r w:rsidRPr="00565BE9">
        <w:rPr>
          <w:b/>
        </w:rPr>
        <w:t xml:space="preserve"> </w:t>
      </w:r>
      <w:r w:rsidR="00523DD6">
        <w:rPr>
          <w:b/>
        </w:rPr>
        <w:t>«</w:t>
      </w:r>
      <w:r w:rsidRPr="00565BE9">
        <w:rPr>
          <w:b/>
        </w:rPr>
        <w:t>Развитие экономики</w:t>
      </w:r>
      <w:r w:rsidR="00523DD6">
        <w:rPr>
          <w:b/>
        </w:rPr>
        <w:t>»</w:t>
      </w:r>
      <w:r w:rsidRPr="00565BE9">
        <w:rPr>
          <w:b/>
        </w:rPr>
        <w:t xml:space="preserve"> на </w:t>
      </w:r>
      <w:r w:rsidR="005201FF">
        <w:rPr>
          <w:b/>
        </w:rPr>
        <w:t>2019-</w:t>
      </w:r>
      <w:r w:rsidRPr="00565BE9">
        <w:rPr>
          <w:b/>
        </w:rPr>
        <w:t xml:space="preserve"> 202</w:t>
      </w:r>
      <w:r w:rsidR="005201FF">
        <w:rPr>
          <w:b/>
        </w:rPr>
        <w:t>1</w:t>
      </w:r>
      <w:r w:rsidRPr="00565BE9">
        <w:rPr>
          <w:b/>
        </w:rPr>
        <w:t xml:space="preserve"> год</w:t>
      </w:r>
      <w:r w:rsidR="005201FF">
        <w:rPr>
          <w:b/>
        </w:rPr>
        <w:t>ы</w:t>
      </w:r>
      <w:r w:rsidR="00523DD6">
        <w:rPr>
          <w:b/>
        </w:rPr>
        <w:t>»</w:t>
      </w: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D854F1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5201FF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97652C" w:rsidP="00520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65F32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201FF">
              <w:rPr>
                <w:b/>
                <w:bCs/>
              </w:rPr>
              <w:t>1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F66741" w:rsidRDefault="00F66741">
            <w:pPr>
              <w:jc w:val="right"/>
              <w:rPr>
                <w:b/>
                <w:bCs/>
              </w:rPr>
            </w:pPr>
            <w:r w:rsidRPr="00F66741">
              <w:rPr>
                <w:b/>
                <w:bCs/>
              </w:rPr>
              <w:t>450,0</w:t>
            </w:r>
          </w:p>
        </w:tc>
      </w:tr>
      <w:tr w:rsidR="00855101" w:rsidRPr="00463C4C" w:rsidTr="0097652C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 xml:space="preserve">Подпрограмма </w:t>
            </w:r>
            <w:r>
              <w:t>«</w:t>
            </w:r>
            <w:r w:rsidRPr="00463C4C">
              <w:t>Малое и среднее предпринимательство»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>Подпрограмма</w:t>
            </w:r>
            <w:r>
              <w:t xml:space="preserve"> «</w:t>
            </w:r>
            <w:r w:rsidRPr="00463C4C">
              <w:t>Въездной и внутренний туризм»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55101" w:rsidRPr="00463C4C" w:rsidTr="0097652C">
        <w:trPr>
          <w:trHeight w:val="11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 xml:space="preserve">Подпрограмма </w:t>
            </w:r>
            <w:r>
              <w:t>«</w:t>
            </w:r>
            <w:r w:rsidRPr="00463C4C">
              <w:t xml:space="preserve">Развитие </w:t>
            </w:r>
            <w:proofErr w:type="gramStart"/>
            <w:r w:rsidRPr="00463C4C">
              <w:t>агропромышленного</w:t>
            </w:r>
            <w:proofErr w:type="gramEnd"/>
            <w:r w:rsidRPr="00463C4C">
              <w:t xml:space="preserve"> и рыбохозяйственного комплексов»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F6674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0F78A6" w:rsidRDefault="00BF5882" w:rsidP="00BF5882">
      <w:pPr>
        <w:ind w:firstLine="708"/>
        <w:jc w:val="both"/>
      </w:pPr>
      <w:r w:rsidRPr="00463C4C">
        <w:t xml:space="preserve">Подпрограмма </w:t>
      </w:r>
      <w:r>
        <w:t>«</w:t>
      </w:r>
      <w:r w:rsidRPr="00463C4C">
        <w:t>Малое и среднее предпринимательство»</w:t>
      </w:r>
      <w:r>
        <w:t xml:space="preserve"> предусматривает </w:t>
      </w:r>
      <w:r w:rsidR="008B4333">
        <w:t xml:space="preserve">расходы на </w:t>
      </w:r>
      <w:r>
        <w:t>ф</w:t>
      </w:r>
      <w:r w:rsidRPr="00BF5882">
        <w:t>инансов</w:t>
      </w:r>
      <w:r>
        <w:t>ую</w:t>
      </w:r>
      <w:r w:rsidRPr="00BF5882">
        <w:t xml:space="preserve"> поддержк</w:t>
      </w:r>
      <w:r>
        <w:t>у</w:t>
      </w:r>
      <w:r w:rsidRPr="00BF5882">
        <w:t xml:space="preserve"> субъектов малого и среднего предпринимательства</w:t>
      </w:r>
      <w:r w:rsidR="006021FD">
        <w:t>, и</w:t>
      </w:r>
      <w:r w:rsidR="006021FD" w:rsidRPr="006021FD">
        <w:t>нформационн</w:t>
      </w:r>
      <w:r w:rsidR="006021FD">
        <w:t>ую</w:t>
      </w:r>
      <w:r w:rsidR="006021FD" w:rsidRPr="006021FD">
        <w:t xml:space="preserve"> и консультационн</w:t>
      </w:r>
      <w:r w:rsidR="006021FD">
        <w:t>ую</w:t>
      </w:r>
      <w:r w:rsidR="006021FD" w:rsidRPr="006021FD">
        <w:t xml:space="preserve"> поддержк</w:t>
      </w:r>
      <w:r w:rsidR="006021FD">
        <w:t>у</w:t>
      </w:r>
      <w:r w:rsidR="006021FD" w:rsidRPr="006021FD">
        <w:t xml:space="preserve"> малого и среднего предпринимательства</w:t>
      </w:r>
      <w:r w:rsidR="006021FD">
        <w:t>.</w:t>
      </w:r>
    </w:p>
    <w:p w:rsidR="006021FD" w:rsidRDefault="008B4333" w:rsidP="00BF5882">
      <w:pPr>
        <w:ind w:firstLine="708"/>
        <w:jc w:val="both"/>
      </w:pPr>
      <w:r w:rsidRPr="00463C4C">
        <w:t>Подпрограмма</w:t>
      </w:r>
      <w:r>
        <w:t xml:space="preserve"> «</w:t>
      </w:r>
      <w:r w:rsidRPr="00463C4C">
        <w:t>Въездной и внутренний туризм»</w:t>
      </w:r>
      <w:r w:rsidRPr="008B4333">
        <w:t xml:space="preserve"> </w:t>
      </w:r>
      <w:r>
        <w:t>предусматривает</w:t>
      </w:r>
      <w:r w:rsidRPr="008B4333">
        <w:t xml:space="preserve"> </w:t>
      </w:r>
      <w:r>
        <w:t>расходы на р</w:t>
      </w:r>
      <w:r w:rsidRPr="008B4333">
        <w:t>азработк</w:t>
      </w:r>
      <w:r>
        <w:t>у и реализацию</w:t>
      </w:r>
      <w:r w:rsidRPr="008B4333">
        <w:t xml:space="preserve"> приоритетных проектов в сфере туризма</w:t>
      </w:r>
      <w:r>
        <w:t>.</w:t>
      </w:r>
    </w:p>
    <w:p w:rsidR="008B4333" w:rsidRPr="00BF5882" w:rsidRDefault="008B4333" w:rsidP="00BF5882">
      <w:pPr>
        <w:ind w:firstLine="708"/>
        <w:jc w:val="both"/>
      </w:pPr>
      <w:r w:rsidRPr="00463C4C">
        <w:t xml:space="preserve">Подпрограмма </w:t>
      </w:r>
      <w:r>
        <w:t>«</w:t>
      </w:r>
      <w:r w:rsidRPr="00463C4C">
        <w:t>Развитие агропромышленного и рыбохозяйственного комплексов»</w:t>
      </w:r>
      <w:r w:rsidR="00AC3FF3">
        <w:t xml:space="preserve"> предусматривает расходы на</w:t>
      </w:r>
      <w:r w:rsidR="008D22DC">
        <w:t xml:space="preserve"> </w:t>
      </w:r>
      <w:r w:rsidR="00822CEA">
        <w:t>с</w:t>
      </w:r>
      <w:r w:rsidR="008D22DC" w:rsidRPr="008D22DC">
        <w:t>одействие развитию приоритетных отраслей сельского хозяйства (животноводства, перерабатывающего производства, рыбоводства и КФХ)</w:t>
      </w:r>
      <w:r w:rsidR="00822CEA">
        <w:t>.</w:t>
      </w:r>
    </w:p>
    <w:p w:rsidR="00BF5882" w:rsidRPr="00BF5882" w:rsidRDefault="00BF5882" w:rsidP="00BF5882">
      <w:pPr>
        <w:ind w:firstLine="708"/>
        <w:jc w:val="both"/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>Муниципальная программа муниципального образования муниципального района «Сыктывдинский» «Развитие культуры, физической культуры и спорта в МО МР «Сыктывдинский»</w:t>
      </w:r>
      <w:r w:rsidR="005201FF">
        <w:rPr>
          <w:b/>
        </w:rPr>
        <w:t xml:space="preserve"> на 2019-2021 годы</w:t>
      </w:r>
      <w:r w:rsidRPr="00565BE9">
        <w:rPr>
          <w:b/>
        </w:rPr>
        <w:t>»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463C4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201FF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</w:t>
            </w:r>
            <w:r w:rsidR="005201FF">
              <w:rPr>
                <w:b/>
                <w:bCs/>
              </w:rPr>
              <w:t>1</w:t>
            </w:r>
          </w:p>
        </w:tc>
      </w:tr>
      <w:tr w:rsidR="00855101" w:rsidRPr="00463C4C" w:rsidTr="00273E86">
        <w:trPr>
          <w:trHeight w:val="1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273E86" w:rsidRDefault="00273E86">
            <w:pPr>
              <w:jc w:val="right"/>
              <w:rPr>
                <w:b/>
                <w:bCs/>
              </w:rPr>
            </w:pPr>
            <w:r w:rsidRPr="00273E86">
              <w:rPr>
                <w:b/>
                <w:bCs/>
              </w:rPr>
              <w:t>147</w:t>
            </w:r>
            <w:r w:rsidR="00FF39DF">
              <w:rPr>
                <w:b/>
                <w:bCs/>
              </w:rPr>
              <w:t xml:space="preserve"> </w:t>
            </w:r>
            <w:r w:rsidRPr="00273E86">
              <w:rPr>
                <w:b/>
                <w:bCs/>
              </w:rPr>
              <w:t>795,7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273E86" w:rsidRDefault="00273E86" w:rsidP="005F41F1">
            <w:pPr>
              <w:jc w:val="right"/>
              <w:rPr>
                <w:b/>
                <w:bCs/>
              </w:rPr>
            </w:pPr>
            <w:r w:rsidRPr="00273E86">
              <w:rPr>
                <w:b/>
                <w:bCs/>
              </w:rPr>
              <w:t>1</w:t>
            </w:r>
            <w:r w:rsidR="005F41F1">
              <w:rPr>
                <w:b/>
                <w:bCs/>
              </w:rPr>
              <w:t>34 873,5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273E86" w:rsidRDefault="005F41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132 873,5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 xml:space="preserve">Подпрограмма </w:t>
            </w:r>
            <w:r>
              <w:t>«</w:t>
            </w:r>
            <w:r w:rsidRPr="00463C4C">
              <w:t xml:space="preserve">Развитие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273E8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141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404,3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5F41F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128 319,8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5F41F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126 387,3</w:t>
            </w:r>
          </w:p>
        </w:tc>
      </w:tr>
      <w:tr w:rsidR="00855101" w:rsidRPr="00463C4C" w:rsidTr="0097652C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FB6B0F">
            <w:r w:rsidRPr="00463C4C">
              <w:t xml:space="preserve">Подпрограмма «Развитие физической культуры и </w:t>
            </w:r>
            <w:r w:rsidR="005201FF">
              <w:t xml:space="preserve">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273E8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391,4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273E8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553,7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273E8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486,2</w:t>
            </w:r>
          </w:p>
        </w:tc>
      </w:tr>
    </w:tbl>
    <w:p w:rsidR="00C86EEB" w:rsidRDefault="00FD726B" w:rsidP="000B04BF">
      <w:pPr>
        <w:ind w:firstLine="708"/>
        <w:jc w:val="both"/>
      </w:pPr>
      <w:r w:rsidRPr="009D565A">
        <w:t>По подпрограмме «Развитие культуры» отражены расходы на содержание бюджетных и автономных учреждений культуры, по подпрограмме «Развитие физической культуры и спорта» отражены расходы на содержание бюджетных и автономных учреждений физической культуры и спорта</w:t>
      </w:r>
      <w:r w:rsidR="00934BD7">
        <w:t>, спортивные мероприятия</w:t>
      </w:r>
      <w:r w:rsidRPr="009D565A">
        <w:t>.</w:t>
      </w:r>
    </w:p>
    <w:p w:rsidR="00FD726B" w:rsidRDefault="00BD74CB" w:rsidP="000B04BF">
      <w:pPr>
        <w:ind w:firstLine="708"/>
        <w:jc w:val="both"/>
      </w:pPr>
      <w:r w:rsidRPr="00597AA0">
        <w:t>В данной программе на 201</w:t>
      </w:r>
      <w:r>
        <w:t>9</w:t>
      </w:r>
      <w:r w:rsidRPr="00597AA0">
        <w:t xml:space="preserve"> год запланированы средства </w:t>
      </w:r>
      <w:r>
        <w:t>на</w:t>
      </w:r>
      <w:r w:rsidRPr="00BD74CB">
        <w:t xml:space="preserve"> повышение </w:t>
      </w:r>
      <w:proofErr w:type="gramStart"/>
      <w:r w:rsidRPr="00BD74CB">
        <w:t>оплаты труда работников учреждений культуры</w:t>
      </w:r>
      <w:proofErr w:type="gramEnd"/>
      <w:r>
        <w:t xml:space="preserve"> 31950,4 тыс.руб.,</w:t>
      </w:r>
      <w:r w:rsidR="00AA0035">
        <w:t xml:space="preserve"> дополнительного образования 5080,9 тыс.руб.</w:t>
      </w:r>
    </w:p>
    <w:p w:rsidR="00BD74CB" w:rsidRDefault="00BD74CB" w:rsidP="000B04BF">
      <w:pPr>
        <w:ind w:firstLine="708"/>
        <w:jc w:val="both"/>
      </w:pPr>
    </w:p>
    <w:p w:rsidR="000F78A6" w:rsidRPr="00FD726B" w:rsidRDefault="000F78A6" w:rsidP="000B04BF">
      <w:pPr>
        <w:ind w:firstLine="708"/>
        <w:jc w:val="both"/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lastRenderedPageBreak/>
        <w:t xml:space="preserve">Муниципальная программа муниципального района «Сыктывдинский» «Развитие образования в Сыктывдинском районе» </w:t>
      </w:r>
      <w:r w:rsidR="005201FF">
        <w:rPr>
          <w:b/>
        </w:rPr>
        <w:t>на 2019-2021 годы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463C4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201FF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201FF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52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</w:t>
            </w:r>
            <w:r w:rsidR="005201FF">
              <w:rPr>
                <w:b/>
                <w:bCs/>
              </w:rPr>
              <w:t>1</w:t>
            </w:r>
          </w:p>
        </w:tc>
      </w:tr>
      <w:tr w:rsidR="00273E86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73E86" w:rsidRPr="00463C4C" w:rsidRDefault="00273E86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73E86" w:rsidRPr="00273E86" w:rsidRDefault="00273E86" w:rsidP="00996478">
            <w:pPr>
              <w:jc w:val="right"/>
              <w:rPr>
                <w:b/>
                <w:bCs/>
              </w:rPr>
            </w:pPr>
            <w:r w:rsidRPr="00273E86">
              <w:rPr>
                <w:b/>
                <w:bCs/>
              </w:rPr>
              <w:t>714</w:t>
            </w:r>
            <w:r>
              <w:rPr>
                <w:b/>
                <w:bCs/>
              </w:rPr>
              <w:t xml:space="preserve"> </w:t>
            </w:r>
            <w:r w:rsidRPr="00273E86">
              <w:rPr>
                <w:b/>
                <w:bCs/>
              </w:rPr>
              <w:t>070,9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73E86" w:rsidRPr="00273E86" w:rsidRDefault="00273E86" w:rsidP="00996478">
            <w:pPr>
              <w:jc w:val="right"/>
              <w:rPr>
                <w:b/>
                <w:bCs/>
              </w:rPr>
            </w:pPr>
            <w:r w:rsidRPr="00273E86">
              <w:rPr>
                <w:b/>
                <w:bCs/>
              </w:rPr>
              <w:t>731</w:t>
            </w:r>
            <w:r>
              <w:rPr>
                <w:b/>
                <w:bCs/>
              </w:rPr>
              <w:t xml:space="preserve"> </w:t>
            </w:r>
            <w:r w:rsidRPr="00273E86">
              <w:rPr>
                <w:b/>
                <w:bCs/>
              </w:rPr>
              <w:t>307,2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86" w:rsidRPr="00273E86" w:rsidRDefault="00273E86" w:rsidP="00996478">
            <w:pPr>
              <w:jc w:val="right"/>
              <w:rPr>
                <w:b/>
                <w:bCs/>
              </w:rPr>
            </w:pPr>
            <w:r w:rsidRPr="00273E86">
              <w:rPr>
                <w:b/>
                <w:bCs/>
              </w:rPr>
              <w:t>717</w:t>
            </w:r>
            <w:r>
              <w:rPr>
                <w:b/>
                <w:bCs/>
              </w:rPr>
              <w:t xml:space="preserve"> </w:t>
            </w:r>
            <w:r w:rsidRPr="00273E86">
              <w:rPr>
                <w:b/>
                <w:bCs/>
              </w:rPr>
              <w:t>978,0</w:t>
            </w:r>
          </w:p>
        </w:tc>
      </w:tr>
      <w:tr w:rsidR="00273E86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3E86" w:rsidRPr="00463C4C" w:rsidRDefault="00273E86" w:rsidP="00523DD6">
            <w:r w:rsidRPr="00463C4C">
              <w:t xml:space="preserve">Подпрограмма </w:t>
            </w:r>
            <w:r>
              <w:t>«</w:t>
            </w:r>
            <w:r w:rsidRPr="00463C4C">
              <w:t>Создание условий для реализации муниципальной программы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E86" w:rsidRPr="00855101" w:rsidRDefault="00273E86">
            <w:pPr>
              <w:jc w:val="right"/>
              <w:rPr>
                <w:bCs/>
              </w:rPr>
            </w:pPr>
            <w:r>
              <w:rPr>
                <w:bCs/>
              </w:rPr>
              <w:t>714 070,9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E86" w:rsidRPr="00855101" w:rsidRDefault="00273E86">
            <w:pPr>
              <w:jc w:val="right"/>
              <w:rPr>
                <w:bCs/>
              </w:rPr>
            </w:pPr>
            <w:r>
              <w:rPr>
                <w:bCs/>
              </w:rPr>
              <w:t>731 307,2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86" w:rsidRPr="00855101" w:rsidRDefault="00273E86">
            <w:pPr>
              <w:jc w:val="right"/>
              <w:rPr>
                <w:bCs/>
              </w:rPr>
            </w:pPr>
            <w:r>
              <w:rPr>
                <w:bCs/>
              </w:rPr>
              <w:t>717 978,0</w:t>
            </w:r>
          </w:p>
        </w:tc>
      </w:tr>
    </w:tbl>
    <w:p w:rsidR="008F5C13" w:rsidRPr="009D565A" w:rsidRDefault="008F5C13" w:rsidP="000B04BF">
      <w:pPr>
        <w:ind w:firstLine="708"/>
        <w:jc w:val="both"/>
      </w:pPr>
      <w:r w:rsidRPr="009D565A">
        <w:t>По подпрограмме «Создание условий для реализации муниципальной программы «Развитие образования» отражены расходы на содержание бюджетных и автономных учреждений образования.</w:t>
      </w:r>
    </w:p>
    <w:p w:rsidR="00017B44" w:rsidRDefault="00017B44" w:rsidP="000B04BF">
      <w:pPr>
        <w:ind w:firstLine="708"/>
        <w:jc w:val="both"/>
      </w:pPr>
      <w:r w:rsidRPr="00597AA0">
        <w:t>В данной подпрограмме на 201</w:t>
      </w:r>
      <w:r>
        <w:t>9</w:t>
      </w:r>
      <w:r w:rsidRPr="00597AA0">
        <w:t xml:space="preserve"> год запланированы средства </w:t>
      </w:r>
      <w:proofErr w:type="gramStart"/>
      <w:r>
        <w:t>н</w:t>
      </w:r>
      <w:r w:rsidR="005C295F">
        <w:t>а</w:t>
      </w:r>
      <w:proofErr w:type="gramEnd"/>
      <w:r>
        <w:t>:</w:t>
      </w:r>
    </w:p>
    <w:p w:rsidR="005C295F" w:rsidRDefault="00017B44" w:rsidP="000B04BF">
      <w:pPr>
        <w:ind w:firstLine="708"/>
        <w:jc w:val="both"/>
      </w:pPr>
      <w:r>
        <w:t>-</w:t>
      </w:r>
      <w:r w:rsidR="005C295F">
        <w:t>р</w:t>
      </w:r>
      <w:r w:rsidR="005C295F" w:rsidRPr="005C295F">
        <w:t>еализаци</w:t>
      </w:r>
      <w:r w:rsidR="005C295F">
        <w:t>ю</w:t>
      </w:r>
      <w:r w:rsidR="005C295F" w:rsidRPr="005C295F">
        <w:t xml:space="preserve"> муниципальными дошкольными и муниципальными общеобразовательными организациями в Республике Коми образовательных программ</w:t>
      </w:r>
      <w:r w:rsidR="005C295F">
        <w:t xml:space="preserve"> 578 564,2 тыс.руб.,</w:t>
      </w:r>
    </w:p>
    <w:p w:rsidR="003747D0" w:rsidRDefault="00017B44" w:rsidP="000B04BF">
      <w:pPr>
        <w:ind w:firstLine="708"/>
        <w:jc w:val="both"/>
      </w:pPr>
      <w:r>
        <w:t>-</w:t>
      </w:r>
      <w:r w:rsidR="007B5295" w:rsidRPr="007B5295">
        <w:t>повышение оплаты труда педагогическим работникам муниципальных учреждений дополнительного образования</w:t>
      </w:r>
      <w:r>
        <w:t xml:space="preserve"> 2087,1 тыс.руб.</w:t>
      </w:r>
    </w:p>
    <w:p w:rsidR="00017B44" w:rsidRDefault="00017B44" w:rsidP="00017B44">
      <w:pPr>
        <w:ind w:firstLine="708"/>
        <w:jc w:val="both"/>
      </w:pPr>
      <w:r>
        <w:t>-о</w:t>
      </w:r>
      <w:r w:rsidRPr="0011375C">
        <w:t>рганизаци</w:t>
      </w:r>
      <w:r>
        <w:t>ю</w:t>
      </w:r>
      <w:r w:rsidRPr="0011375C">
        <w:t xml:space="preserve"> питания обучающихся 1–4 классов в муниципальных образовательных организациях в Республике Коми, реализующих образовательную программу начального общего образования</w:t>
      </w:r>
      <w:r w:rsidR="00AB7A84">
        <w:t xml:space="preserve"> </w:t>
      </w:r>
      <w:r>
        <w:t>12618,5 тыс.руб.,</w:t>
      </w:r>
    </w:p>
    <w:p w:rsidR="00017B44" w:rsidRDefault="00017B44" w:rsidP="00017B44">
      <w:pPr>
        <w:ind w:firstLine="708"/>
        <w:jc w:val="both"/>
      </w:pPr>
      <w:r>
        <w:t>-м</w:t>
      </w:r>
      <w:r w:rsidRPr="005C295F">
        <w:t>ероприятия по проведению оздоровительной кампании детей</w:t>
      </w:r>
      <w:r>
        <w:t xml:space="preserve"> 1686,8 тыс.руб., </w:t>
      </w:r>
    </w:p>
    <w:p w:rsidR="00017B44" w:rsidRDefault="00017B44" w:rsidP="00017B44">
      <w:pPr>
        <w:ind w:firstLine="708"/>
        <w:jc w:val="both"/>
      </w:pPr>
      <w:r>
        <w:t>-</w:t>
      </w:r>
      <w:r w:rsidRPr="00597AA0">
        <w:t>софинансирование строительств</w:t>
      </w:r>
      <w:r>
        <w:t>а</w:t>
      </w:r>
      <w:r w:rsidRPr="00597AA0">
        <w:t xml:space="preserve"> общеобразовательной школы в с.</w:t>
      </w:r>
      <w:r>
        <w:t xml:space="preserve">Часово </w:t>
      </w:r>
      <w:r w:rsidRPr="00597AA0">
        <w:t xml:space="preserve">в сумме </w:t>
      </w:r>
      <w:r>
        <w:t>1</w:t>
      </w:r>
      <w:r w:rsidRPr="00597AA0">
        <w:t xml:space="preserve">000 тыс.руб. и </w:t>
      </w:r>
      <w:r>
        <w:t xml:space="preserve">детского сада </w:t>
      </w:r>
      <w:r w:rsidRPr="00597AA0">
        <w:t xml:space="preserve">с.Выльгорт  в сумме </w:t>
      </w:r>
      <w:r>
        <w:t>300</w:t>
      </w:r>
      <w:r w:rsidRPr="00597AA0">
        <w:t>0 тыс.руб.</w:t>
      </w:r>
    </w:p>
    <w:p w:rsidR="000F78A6" w:rsidRDefault="000F78A6" w:rsidP="000B04BF">
      <w:pPr>
        <w:ind w:firstLine="708"/>
        <w:jc w:val="both"/>
      </w:pPr>
    </w:p>
    <w:p w:rsidR="00C86EEB" w:rsidRDefault="00C86EEB" w:rsidP="004F7381">
      <w:pPr>
        <w:jc w:val="center"/>
        <w:rPr>
          <w:b/>
        </w:rPr>
      </w:pPr>
      <w:r w:rsidRPr="00C86EEB">
        <w:rPr>
          <w:b/>
        </w:rPr>
        <w:t>Муниципальная программа муниципального района «Сыктывдинский» «Создание условий для развития социальной сферы»</w:t>
      </w:r>
      <w:r w:rsidR="00CB5A52">
        <w:rPr>
          <w:b/>
        </w:rPr>
        <w:t xml:space="preserve"> на 2019-2021 годы</w:t>
      </w:r>
    </w:p>
    <w:p w:rsidR="00DA6770" w:rsidRPr="00DA6770" w:rsidRDefault="00DA6770" w:rsidP="00DA6770">
      <w:pPr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C86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CB5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B5A52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CB5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B5A52"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CB5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</w:t>
            </w:r>
            <w:r w:rsidR="00CB5A52">
              <w:rPr>
                <w:b/>
                <w:bCs/>
              </w:rPr>
              <w:t>1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3B79F1" w:rsidRDefault="00900590">
            <w:pPr>
              <w:jc w:val="right"/>
              <w:rPr>
                <w:b/>
                <w:bCs/>
              </w:rPr>
            </w:pPr>
            <w:r w:rsidRPr="003B79F1">
              <w:rPr>
                <w:b/>
                <w:bCs/>
              </w:rPr>
              <w:t>2</w:t>
            </w:r>
            <w:r w:rsidR="00FF39DF">
              <w:rPr>
                <w:b/>
                <w:bCs/>
              </w:rPr>
              <w:t xml:space="preserve"> </w:t>
            </w:r>
            <w:r w:rsidRPr="003B79F1">
              <w:rPr>
                <w:b/>
                <w:bCs/>
              </w:rPr>
              <w:t>810,0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3B79F1" w:rsidRDefault="00900590">
            <w:pPr>
              <w:jc w:val="right"/>
              <w:rPr>
                <w:b/>
                <w:bCs/>
              </w:rPr>
            </w:pPr>
            <w:r w:rsidRPr="003B79F1">
              <w:rPr>
                <w:b/>
                <w:bCs/>
              </w:rPr>
              <w:t>2</w:t>
            </w:r>
            <w:r w:rsidR="00FF39DF">
              <w:rPr>
                <w:b/>
                <w:bCs/>
              </w:rPr>
              <w:t xml:space="preserve"> </w:t>
            </w:r>
            <w:r w:rsidRPr="003B79F1">
              <w:rPr>
                <w:b/>
                <w:bCs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3B79F1" w:rsidRDefault="00900590">
            <w:pPr>
              <w:jc w:val="right"/>
              <w:rPr>
                <w:b/>
                <w:bCs/>
              </w:rPr>
            </w:pPr>
            <w:r w:rsidRPr="003B79F1">
              <w:rPr>
                <w:b/>
                <w:bCs/>
              </w:rPr>
              <w:t>2</w:t>
            </w:r>
            <w:r w:rsidR="00FF39DF">
              <w:rPr>
                <w:b/>
                <w:bCs/>
              </w:rPr>
              <w:t xml:space="preserve"> </w:t>
            </w:r>
            <w:r w:rsidRPr="003B79F1">
              <w:rPr>
                <w:b/>
                <w:bCs/>
              </w:rPr>
              <w:t>810,0</w:t>
            </w:r>
          </w:p>
        </w:tc>
      </w:tr>
      <w:tr w:rsidR="00855101" w:rsidRPr="00463C4C" w:rsidTr="0097652C">
        <w:trPr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Содействие занятости населения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FF39DF">
              <w:rPr>
                <w:bCs/>
              </w:rPr>
              <w:t xml:space="preserve"> </w:t>
            </w:r>
            <w:r>
              <w:rPr>
                <w:bCs/>
              </w:rPr>
              <w:t>720,0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   </w:t>
            </w:r>
            <w:r>
              <w:t>«</w:t>
            </w:r>
            <w:r w:rsidRPr="00463C4C">
              <w:t>Поддержка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B79F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B79F1" w:rsidRPr="00463C4C" w:rsidRDefault="003B79F1" w:rsidP="00CB5A52">
            <w:r>
              <w:t>Подпрограмма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B79F1" w:rsidRDefault="003B79F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B79F1" w:rsidRDefault="003B79F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1" w:rsidRDefault="003B79F1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B37C2B">
            <w:r w:rsidRPr="00463C4C">
              <w:t>Подпрограмма</w:t>
            </w:r>
            <w:r>
              <w:t xml:space="preserve"> «</w:t>
            </w:r>
            <w:r w:rsidR="00B37C2B">
              <w:t>Старшее поколение</w:t>
            </w:r>
            <w:r>
              <w:t>»</w:t>
            </w:r>
            <w:r w:rsidRPr="00463C4C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90059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</w:tbl>
    <w:p w:rsidR="00CE5B24" w:rsidRPr="00596BBB" w:rsidRDefault="00C545FF" w:rsidP="00CE5B24">
      <w:pPr>
        <w:ind w:firstLine="708"/>
        <w:jc w:val="both"/>
      </w:pPr>
      <w:r>
        <w:t>В</w:t>
      </w:r>
      <w:r w:rsidR="00CE5B24" w:rsidRPr="00C25029">
        <w:t xml:space="preserve"> </w:t>
      </w:r>
      <w:r>
        <w:t>п</w:t>
      </w:r>
      <w:r w:rsidR="00CE5B24" w:rsidRPr="00C25029">
        <w:t xml:space="preserve">одпрограмме </w:t>
      </w:r>
      <w:r w:rsidR="00523DD6" w:rsidRPr="00C25029">
        <w:t>«Содействие занятости населения»</w:t>
      </w:r>
      <w:r w:rsidR="00CE5B24" w:rsidRPr="00C25029">
        <w:t xml:space="preserve"> сельским поселениям предусмотрены иные межбюджетные трансферты в сумме </w:t>
      </w:r>
      <w:r w:rsidR="009640A5">
        <w:t>1320</w:t>
      </w:r>
      <w:r w:rsidR="00CE5B24" w:rsidRPr="00C25029">
        <w:t xml:space="preserve"> тыс.руб.</w:t>
      </w:r>
      <w:r>
        <w:t xml:space="preserve"> и </w:t>
      </w:r>
      <w:r w:rsidR="009640A5">
        <w:t>4</w:t>
      </w:r>
      <w:r>
        <w:t>00 тыс.руб. образовательным учреждениям</w:t>
      </w:r>
      <w:r w:rsidR="009640A5">
        <w:t>, что выше 2018 года на 2,2 раза.</w:t>
      </w:r>
      <w:r>
        <w:t xml:space="preserve"> </w:t>
      </w:r>
    </w:p>
    <w:p w:rsidR="00D854F1" w:rsidRDefault="00DC78CA" w:rsidP="000B04BF">
      <w:pPr>
        <w:ind w:firstLine="708"/>
        <w:jc w:val="both"/>
      </w:pPr>
      <w:r>
        <w:t>По</w:t>
      </w:r>
      <w:r w:rsidR="00AB7A84">
        <w:t xml:space="preserve"> подпрограмме</w:t>
      </w:r>
      <w:r w:rsidR="00AB7A84" w:rsidRPr="00463C4C">
        <w:t xml:space="preserve">   </w:t>
      </w:r>
      <w:r w:rsidR="00AB7A84">
        <w:t>«</w:t>
      </w:r>
      <w:r w:rsidR="00AB7A84" w:rsidRPr="00463C4C">
        <w:t>Поддержка социально ориентированных некоммерческих организаций</w:t>
      </w:r>
      <w:r w:rsidR="00AB7A84">
        <w:t xml:space="preserve">» предусмотрены расходы на </w:t>
      </w:r>
      <w:r w:rsidR="00AB7A84" w:rsidRPr="00AB7A84">
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</w:r>
      <w:r w:rsidR="00AB7A84">
        <w:t>,</w:t>
      </w:r>
    </w:p>
    <w:p w:rsidR="00DC78CA" w:rsidRDefault="00DC78CA" w:rsidP="00DC78CA">
      <w:pPr>
        <w:ind w:firstLine="708"/>
        <w:jc w:val="both"/>
      </w:pPr>
      <w:r>
        <w:t>По подпрограмме «Доступная среда»</w:t>
      </w:r>
      <w:r w:rsidRPr="00DC78CA">
        <w:t xml:space="preserve"> </w:t>
      </w:r>
      <w:r>
        <w:t>предусмотрены расходы на</w:t>
      </w:r>
      <w:r w:rsidRPr="00DC78CA">
        <w:t xml:space="preserve"> </w:t>
      </w:r>
      <w:r>
        <w:t>а</w:t>
      </w:r>
      <w:r w:rsidRPr="00DC78CA">
        <w:t>даптаци</w:t>
      </w:r>
      <w:r>
        <w:t>ю</w:t>
      </w:r>
      <w:r w:rsidRPr="00DC78CA">
        <w:t xml:space="preserve"> учреждений сферы здравоохранения</w:t>
      </w:r>
      <w:r w:rsidR="00B37C2B">
        <w:t xml:space="preserve"> (пандусы),</w:t>
      </w:r>
    </w:p>
    <w:p w:rsidR="00AB7A84" w:rsidRDefault="00B37C2B" w:rsidP="000B04BF">
      <w:pPr>
        <w:ind w:firstLine="708"/>
        <w:jc w:val="both"/>
      </w:pPr>
      <w:r w:rsidRPr="00463C4C">
        <w:t>Подпрограмма</w:t>
      </w:r>
      <w:r>
        <w:t xml:space="preserve"> «</w:t>
      </w:r>
      <w:r w:rsidRPr="00463C4C">
        <w:t>Старшее поколение</w:t>
      </w:r>
      <w:r w:rsidR="006B6BBB" w:rsidRPr="006B6BBB">
        <w:t xml:space="preserve"> </w:t>
      </w:r>
      <w:r w:rsidR="006B6BBB">
        <w:t>предусматривает п</w:t>
      </w:r>
      <w:r w:rsidR="006B6BBB" w:rsidRPr="006B6BBB">
        <w:t>роведение спортивного праздника среди ветеранов</w:t>
      </w:r>
      <w:r w:rsidR="006B6BBB">
        <w:t>.</w:t>
      </w:r>
    </w:p>
    <w:p w:rsidR="006B6BBB" w:rsidRDefault="006B6BBB" w:rsidP="000B04BF">
      <w:pPr>
        <w:ind w:firstLine="708"/>
        <w:jc w:val="both"/>
        <w:rPr>
          <w:sz w:val="28"/>
          <w:szCs w:val="28"/>
        </w:rPr>
      </w:pPr>
    </w:p>
    <w:p w:rsidR="00377A02" w:rsidRDefault="00377A02" w:rsidP="0034163E">
      <w:pPr>
        <w:jc w:val="both"/>
        <w:rPr>
          <w:b/>
          <w:sz w:val="28"/>
          <w:szCs w:val="28"/>
        </w:rPr>
      </w:pPr>
    </w:p>
    <w:p w:rsidR="00DA6770" w:rsidRDefault="002E6610" w:rsidP="00341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  <w:r w:rsidR="005B2FC2" w:rsidRPr="0095044C">
        <w:rPr>
          <w:b/>
          <w:sz w:val="28"/>
          <w:szCs w:val="28"/>
        </w:rPr>
        <w:t xml:space="preserve"> </w:t>
      </w:r>
      <w:r w:rsidR="00790F36">
        <w:rPr>
          <w:b/>
          <w:sz w:val="28"/>
          <w:szCs w:val="28"/>
        </w:rPr>
        <w:t xml:space="preserve">бюджета </w:t>
      </w:r>
      <w:r w:rsidR="005B2FC2" w:rsidRPr="0095044C">
        <w:rPr>
          <w:b/>
          <w:sz w:val="28"/>
          <w:szCs w:val="28"/>
        </w:rPr>
        <w:t xml:space="preserve">по отраслям </w:t>
      </w:r>
    </w:p>
    <w:p w:rsidR="00DA6770" w:rsidRPr="004657E8" w:rsidRDefault="00377A02" w:rsidP="00DA6770">
      <w:pPr>
        <w:jc w:val="right"/>
      </w:pPr>
      <w:r>
        <w:t>т</w:t>
      </w:r>
      <w:r w:rsidR="00DA6770" w:rsidRPr="004657E8">
        <w:t>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40"/>
        <w:gridCol w:w="1813"/>
        <w:gridCol w:w="1701"/>
      </w:tblGrid>
      <w:tr w:rsidR="00585697" w:rsidTr="00306E96">
        <w:trPr>
          <w:trHeight w:val="49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7" w:rsidRDefault="0058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отрасли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D" w:rsidRDefault="0058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C2F39">
              <w:rPr>
                <w:b/>
                <w:bCs/>
              </w:rPr>
              <w:t>9</w:t>
            </w:r>
            <w:r w:rsidR="00DE6B1D">
              <w:rPr>
                <w:b/>
                <w:bCs/>
              </w:rPr>
              <w:t xml:space="preserve">, </w:t>
            </w:r>
          </w:p>
          <w:p w:rsidR="00585697" w:rsidRDefault="00DE6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97" w:rsidRDefault="005856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уд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ес</w:t>
            </w:r>
            <w:proofErr w:type="spellEnd"/>
            <w:r>
              <w:rPr>
                <w:b/>
                <w:bCs/>
              </w:rPr>
              <w:t xml:space="preserve"> в общем объеме расходов</w:t>
            </w:r>
            <w:r w:rsidR="00306E96">
              <w:rPr>
                <w:b/>
                <w:bCs/>
              </w:rPr>
              <w:t>, %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97" w:rsidRDefault="0058569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1A5F1C" w:rsidRDefault="001A5F1C">
            <w:pPr>
              <w:jc w:val="right"/>
              <w:rPr>
                <w:b/>
                <w:bCs/>
              </w:rPr>
            </w:pPr>
            <w:r w:rsidRPr="001A5F1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A5F1C">
              <w:rPr>
                <w:b/>
                <w:bCs/>
              </w:rPr>
              <w:t>126</w:t>
            </w:r>
            <w:r>
              <w:rPr>
                <w:b/>
                <w:bCs/>
              </w:rPr>
              <w:t xml:space="preserve"> </w:t>
            </w:r>
            <w:r w:rsidRPr="001A5F1C">
              <w:rPr>
                <w:b/>
                <w:bCs/>
              </w:rPr>
              <w:t>751,9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D36A21" w:rsidRDefault="001A5F1C">
            <w:pPr>
              <w:jc w:val="right"/>
              <w:rPr>
                <w:b/>
                <w:bCs/>
              </w:rPr>
            </w:pPr>
            <w:r w:rsidRPr="00D36A21">
              <w:rPr>
                <w:b/>
                <w:bCs/>
              </w:rPr>
              <w:t>100,0</w:t>
            </w:r>
          </w:p>
        </w:tc>
      </w:tr>
      <w:tr w:rsidR="00585697" w:rsidRPr="005758E2" w:rsidTr="00B977B6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79 947,3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7,1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ОБОРОНА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2 698,8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0,2</w:t>
            </w:r>
          </w:p>
        </w:tc>
      </w:tr>
      <w:tr w:rsidR="00585697" w:rsidRPr="005758E2" w:rsidTr="00B977B6">
        <w:trPr>
          <w:trHeight w:val="66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0,0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45 129,9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4,0</w:t>
            </w:r>
          </w:p>
        </w:tc>
      </w:tr>
      <w:tr w:rsidR="00585697" w:rsidRPr="005758E2" w:rsidTr="00B977B6">
        <w:trPr>
          <w:trHeight w:val="44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43 254,8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4,0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ОБРАЗОВАНИЕ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745 264,0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66,1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117 264,3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10,4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СОЦИАЛЬНАЯ ПОЛИТИКА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46 175,2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4,1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ФИЗИЧЕСКАЯ КУЛЬТУРА И СПОРТ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6 481,4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0,6</w:t>
            </w:r>
          </w:p>
        </w:tc>
      </w:tr>
      <w:tr w:rsidR="00585697" w:rsidRPr="005758E2" w:rsidTr="00B977B6">
        <w:trPr>
          <w:trHeight w:val="66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ОБСЛУЖИВАНИЕ ГОСУДАРСТВЕННОГО И МУНИЦИПАЛЬНОГО ДОЛГА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0,1</w:t>
            </w:r>
          </w:p>
        </w:tc>
      </w:tr>
      <w:tr w:rsidR="00585697" w:rsidRPr="005758E2" w:rsidTr="00B977B6">
        <w:trPr>
          <w:trHeight w:val="12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697" w:rsidRPr="008B1555" w:rsidRDefault="001A5F1C">
            <w:pPr>
              <w:jc w:val="right"/>
            </w:pPr>
            <w:r>
              <w:t>39 436,2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1A5F1C">
            <w:pPr>
              <w:jc w:val="right"/>
            </w:pPr>
            <w:r>
              <w:t>3,5</w:t>
            </w:r>
          </w:p>
        </w:tc>
      </w:tr>
    </w:tbl>
    <w:p w:rsidR="00484AD1" w:rsidRDefault="00773A16" w:rsidP="000B04BF">
      <w:pPr>
        <w:ind w:firstLine="708"/>
        <w:jc w:val="both"/>
      </w:pPr>
      <w:r w:rsidRPr="00596BBB">
        <w:t>Наибольши</w:t>
      </w:r>
      <w:r w:rsidR="0038166D" w:rsidRPr="00596BBB">
        <w:t>й объем</w:t>
      </w:r>
      <w:r w:rsidRPr="00596BBB">
        <w:t xml:space="preserve"> расходов бюджета приходится на образование, из которых </w:t>
      </w:r>
      <w:r w:rsidR="0038166D" w:rsidRPr="00596BBB">
        <w:t xml:space="preserve">финансовое обеспечение </w:t>
      </w:r>
      <w:r w:rsidR="0038166D" w:rsidRPr="002A7C26">
        <w:t xml:space="preserve">более </w:t>
      </w:r>
      <w:r w:rsidR="00D91D48" w:rsidRPr="00D91D48">
        <w:t>8</w:t>
      </w:r>
      <w:r w:rsidR="0038166D" w:rsidRPr="00D91D48">
        <w:t>0%</w:t>
      </w:r>
      <w:r w:rsidR="0038166D" w:rsidRPr="002A7C26">
        <w:t xml:space="preserve"> </w:t>
      </w:r>
      <w:r w:rsidR="00881FB0" w:rsidRPr="002A7C26">
        <w:t>осуществляется</w:t>
      </w:r>
      <w:r w:rsidR="00881FB0" w:rsidRPr="00596BBB">
        <w:t xml:space="preserve"> </w:t>
      </w:r>
      <w:r w:rsidR="0038166D" w:rsidRPr="00596BBB">
        <w:t>за счет республиканского бюджета Республики Коми.</w:t>
      </w:r>
      <w:r w:rsidR="002A7C26">
        <w:t xml:space="preserve"> По отрасли национальная оборона отражены расходы по переданным государственным полномочиям по воинскому учету.</w:t>
      </w:r>
    </w:p>
    <w:p w:rsidR="00E2579A" w:rsidRPr="00596BBB" w:rsidRDefault="00E2579A" w:rsidP="000B04BF">
      <w:pPr>
        <w:ind w:firstLine="708"/>
        <w:jc w:val="both"/>
      </w:pPr>
      <w:r>
        <w:t>По разделу межбюджетные трансферты отражены расходы на предоставление межбюджетных трансфертов бюджетам сельских поселений, не отраженны</w:t>
      </w:r>
      <w:r w:rsidR="00B42163">
        <w:t>е</w:t>
      </w:r>
      <w:r>
        <w:t xml:space="preserve"> в других разделах.</w:t>
      </w:r>
    </w:p>
    <w:p w:rsidR="00773A16" w:rsidRPr="00596BBB" w:rsidRDefault="00773A16" w:rsidP="000B04BF">
      <w:pPr>
        <w:ind w:firstLine="708"/>
        <w:jc w:val="both"/>
      </w:pPr>
    </w:p>
    <w:p w:rsidR="001F524D" w:rsidRDefault="00420300" w:rsidP="00420300">
      <w:pPr>
        <w:jc w:val="center"/>
        <w:outlineLvl w:val="0"/>
        <w:rPr>
          <w:b/>
        </w:rPr>
      </w:pPr>
      <w:r w:rsidRPr="00420300">
        <w:rPr>
          <w:b/>
        </w:rPr>
        <w:t>Непрограммные направления расходов бюджета</w:t>
      </w:r>
    </w:p>
    <w:p w:rsidR="00420300" w:rsidRDefault="00420300" w:rsidP="00420300">
      <w:pPr>
        <w:jc w:val="center"/>
        <w:outlineLvl w:val="0"/>
        <w:rPr>
          <w:b/>
        </w:rPr>
      </w:pPr>
    </w:p>
    <w:p w:rsidR="00420300" w:rsidRDefault="00420300" w:rsidP="00420300">
      <w:pPr>
        <w:outlineLvl w:val="0"/>
      </w:pPr>
      <w:r>
        <w:t>К н</w:t>
      </w:r>
      <w:r w:rsidRPr="00420300">
        <w:t>епрограммны</w:t>
      </w:r>
      <w:r>
        <w:t xml:space="preserve">м расходам бюджета </w:t>
      </w:r>
      <w:proofErr w:type="gramStart"/>
      <w:r>
        <w:t>отнесены</w:t>
      </w:r>
      <w:proofErr w:type="gramEnd"/>
      <w:r>
        <w:t>:</w:t>
      </w:r>
    </w:p>
    <w:p w:rsidR="00420300" w:rsidRPr="00AC2F39" w:rsidRDefault="00420300" w:rsidP="00420300">
      <w:pPr>
        <w:outlineLvl w:val="0"/>
        <w:rPr>
          <w:highlight w:val="red"/>
        </w:rPr>
      </w:pPr>
      <w:r>
        <w:t>1</w:t>
      </w:r>
      <w:r w:rsidRPr="00F12FF8">
        <w:t>.Расходы по содержанию органов местного самоуправления</w:t>
      </w:r>
      <w:r w:rsidR="00F87B42" w:rsidRPr="00F12FF8">
        <w:t xml:space="preserve"> - </w:t>
      </w:r>
      <w:r w:rsidR="00DF60E3" w:rsidRPr="00F12FF8">
        <w:t xml:space="preserve"> </w:t>
      </w:r>
      <w:r w:rsidR="00F12FF8" w:rsidRPr="00F12FF8">
        <w:t>52715,0</w:t>
      </w:r>
      <w:r w:rsidR="00ED69B6" w:rsidRPr="00F12FF8">
        <w:t xml:space="preserve"> тыс.руб.</w:t>
      </w:r>
      <w:r w:rsidRPr="00F12FF8">
        <w:t>;</w:t>
      </w:r>
    </w:p>
    <w:p w:rsidR="00463443" w:rsidRPr="00AB2EE1" w:rsidRDefault="00420300" w:rsidP="000474DC">
      <w:pPr>
        <w:jc w:val="both"/>
        <w:outlineLvl w:val="0"/>
      </w:pPr>
      <w:r w:rsidRPr="00AB2EE1">
        <w:t>2.</w:t>
      </w:r>
      <w:r w:rsidR="007600A6" w:rsidRPr="00AB2EE1">
        <w:t xml:space="preserve">Расходы по </w:t>
      </w:r>
      <w:r w:rsidR="003F7B7B" w:rsidRPr="00AB2EE1">
        <w:t xml:space="preserve">предоставлению </w:t>
      </w:r>
      <w:r w:rsidRPr="00AB2EE1">
        <w:t xml:space="preserve">межбюджетных трансфертов </w:t>
      </w:r>
      <w:r w:rsidR="00144DAA" w:rsidRPr="00AB2EE1">
        <w:t xml:space="preserve">бюджетам </w:t>
      </w:r>
      <w:r w:rsidR="007600A6" w:rsidRPr="00AB2EE1">
        <w:t>поселени</w:t>
      </w:r>
      <w:r w:rsidR="00144DAA" w:rsidRPr="00AB2EE1">
        <w:t>й</w:t>
      </w:r>
      <w:r w:rsidR="00463443" w:rsidRPr="00AB2EE1">
        <w:t xml:space="preserve"> такие как:</w:t>
      </w:r>
    </w:p>
    <w:p w:rsidR="00420300" w:rsidRPr="00AB2EE1" w:rsidRDefault="00DD45EE" w:rsidP="000474DC">
      <w:pPr>
        <w:jc w:val="both"/>
        <w:outlineLvl w:val="0"/>
      </w:pPr>
      <w:r w:rsidRPr="00AB2EE1">
        <w:t>-</w:t>
      </w:r>
      <w:r w:rsidR="00463443" w:rsidRPr="00AB2EE1">
        <w:t>субвенции на передачу государственных полномочий по ЗАГС, воинскому учету за счет федерального бюджета, на осуществление переданных государственных полномочий по закону «Об административных нарушениях в Республике Коми»</w:t>
      </w:r>
      <w:r w:rsidR="00C00904" w:rsidRPr="00AB2EE1">
        <w:t xml:space="preserve"> в</w:t>
      </w:r>
      <w:r w:rsidR="00F87B42" w:rsidRPr="00AB2EE1">
        <w:t xml:space="preserve"> общей</w:t>
      </w:r>
      <w:r w:rsidR="00C00904" w:rsidRPr="00AB2EE1">
        <w:t xml:space="preserve"> сумме </w:t>
      </w:r>
      <w:r w:rsidR="00AB2EE1" w:rsidRPr="00AB2EE1">
        <w:t>301</w:t>
      </w:r>
      <w:r w:rsidR="00C20ABC">
        <w:t xml:space="preserve">3,3 </w:t>
      </w:r>
      <w:r w:rsidR="00C00904" w:rsidRPr="00AB2EE1">
        <w:t>тыс.руб.;</w:t>
      </w:r>
    </w:p>
    <w:p w:rsidR="00F42334" w:rsidRDefault="00DD45EE" w:rsidP="000474DC">
      <w:pPr>
        <w:jc w:val="both"/>
        <w:outlineLvl w:val="0"/>
      </w:pPr>
      <w:r w:rsidRPr="00C20ABC">
        <w:t>-</w:t>
      </w:r>
      <w:r w:rsidR="00420300" w:rsidRPr="00C20ABC">
        <w:t xml:space="preserve">дотации </w:t>
      </w:r>
      <w:r w:rsidR="00C20ABC">
        <w:t>39436,2 тыс.руб.</w:t>
      </w:r>
    </w:p>
    <w:p w:rsidR="00861946" w:rsidRPr="00F1305D" w:rsidRDefault="00861946" w:rsidP="000474DC">
      <w:pPr>
        <w:jc w:val="both"/>
        <w:outlineLvl w:val="0"/>
      </w:pPr>
      <w:r w:rsidRPr="00F1305D">
        <w:t>3. Резервный фонд администрации МО МР «Сыктывдинский» на финансирование непредвиденных расходов 500 тыс.руб.;</w:t>
      </w:r>
    </w:p>
    <w:p w:rsidR="00861946" w:rsidRPr="00AC2F39" w:rsidRDefault="00861946" w:rsidP="00861946">
      <w:pPr>
        <w:jc w:val="both"/>
        <w:rPr>
          <w:highlight w:val="red"/>
        </w:rPr>
      </w:pPr>
      <w:r w:rsidRPr="000F4F36">
        <w:rPr>
          <w:szCs w:val="28"/>
        </w:rPr>
        <w:t>4. Резерв средств на уплату налога на имущество организаций</w:t>
      </w:r>
      <w:r w:rsidRPr="000F4F36">
        <w:t xml:space="preserve"> </w:t>
      </w:r>
      <w:r w:rsidR="00F87B42" w:rsidRPr="000F4F36">
        <w:t>-</w:t>
      </w:r>
      <w:r w:rsidR="00C00904" w:rsidRPr="000F4F36">
        <w:t>1</w:t>
      </w:r>
      <w:r w:rsidR="000F4F36" w:rsidRPr="000F4F36">
        <w:t>0453,0</w:t>
      </w:r>
      <w:r w:rsidR="00F203F3" w:rsidRPr="000F4F36">
        <w:t xml:space="preserve"> </w:t>
      </w:r>
      <w:r w:rsidRPr="000F4F36">
        <w:t>тыс.руб.</w:t>
      </w:r>
      <w:r w:rsidR="00E5069F" w:rsidRPr="000F4F36">
        <w:t>;</w:t>
      </w:r>
    </w:p>
    <w:p w:rsidR="003F741E" w:rsidRPr="000F4F36" w:rsidRDefault="00090F08" w:rsidP="000474DC">
      <w:pPr>
        <w:jc w:val="both"/>
        <w:outlineLvl w:val="0"/>
        <w:rPr>
          <w:szCs w:val="28"/>
        </w:rPr>
      </w:pPr>
      <w:r>
        <w:rPr>
          <w:szCs w:val="28"/>
        </w:rPr>
        <w:t>5</w:t>
      </w:r>
      <w:r w:rsidR="003F741E" w:rsidRPr="000F4F36">
        <w:rPr>
          <w:szCs w:val="28"/>
        </w:rPr>
        <w:t>.</w:t>
      </w:r>
      <w:r w:rsidR="003F741E" w:rsidRPr="000F4F36">
        <w:t xml:space="preserve"> </w:t>
      </w:r>
      <w:r w:rsidR="003F741E" w:rsidRPr="000F4F36">
        <w:rPr>
          <w:szCs w:val="28"/>
        </w:rPr>
        <w:t xml:space="preserve">Пенсионное обеспечение муниципальных служащих </w:t>
      </w:r>
      <w:r w:rsidR="000F4F36" w:rsidRPr="000F4F36">
        <w:rPr>
          <w:szCs w:val="28"/>
        </w:rPr>
        <w:t>–</w:t>
      </w:r>
      <w:r w:rsidR="00F87B42" w:rsidRPr="000F4F36">
        <w:rPr>
          <w:szCs w:val="28"/>
        </w:rPr>
        <w:t xml:space="preserve"> </w:t>
      </w:r>
      <w:r w:rsidR="00964F23" w:rsidRPr="000F4F36">
        <w:rPr>
          <w:szCs w:val="28"/>
        </w:rPr>
        <w:t>6</w:t>
      </w:r>
      <w:r w:rsidR="000F4F36" w:rsidRPr="000F4F36">
        <w:rPr>
          <w:szCs w:val="28"/>
        </w:rPr>
        <w:t xml:space="preserve"> 800</w:t>
      </w:r>
      <w:r w:rsidR="00ED69B6" w:rsidRPr="000F4F36">
        <w:rPr>
          <w:szCs w:val="28"/>
        </w:rPr>
        <w:t xml:space="preserve"> </w:t>
      </w:r>
      <w:r w:rsidR="003F741E" w:rsidRPr="000F4F36">
        <w:rPr>
          <w:szCs w:val="28"/>
        </w:rPr>
        <w:t xml:space="preserve"> тыс.руб.;</w:t>
      </w:r>
    </w:p>
    <w:p w:rsidR="00210A8B" w:rsidRPr="000F4F36" w:rsidRDefault="00090F08" w:rsidP="000474DC">
      <w:pPr>
        <w:jc w:val="both"/>
        <w:outlineLvl w:val="0"/>
        <w:rPr>
          <w:szCs w:val="28"/>
        </w:rPr>
      </w:pPr>
      <w:r>
        <w:rPr>
          <w:szCs w:val="28"/>
        </w:rPr>
        <w:t>6</w:t>
      </w:r>
      <w:r w:rsidR="003F741E" w:rsidRPr="000F4F36">
        <w:rPr>
          <w:szCs w:val="28"/>
        </w:rPr>
        <w:t>.</w:t>
      </w:r>
      <w:r w:rsidR="003F741E" w:rsidRPr="000F4F36">
        <w:t xml:space="preserve"> </w:t>
      </w:r>
      <w:r w:rsidR="00210A8B" w:rsidRPr="000F4F36">
        <w:rPr>
          <w:szCs w:val="28"/>
        </w:rPr>
        <w:t>Выполнение отдельных государственных полномочий, таких как:</w:t>
      </w:r>
    </w:p>
    <w:p w:rsidR="003F741E" w:rsidRPr="00090F08" w:rsidRDefault="00210A8B" w:rsidP="000474DC">
      <w:pPr>
        <w:jc w:val="both"/>
        <w:outlineLvl w:val="0"/>
        <w:rPr>
          <w:szCs w:val="28"/>
        </w:rPr>
      </w:pPr>
      <w:r w:rsidRPr="00090F08">
        <w:lastRenderedPageBreak/>
        <w:t>-</w:t>
      </w:r>
      <w:r w:rsidR="003F741E" w:rsidRPr="00090F08">
        <w:rPr>
          <w:szCs w:val="28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523DD6" w:rsidRPr="00090F08">
        <w:rPr>
          <w:szCs w:val="28"/>
        </w:rPr>
        <w:t>«</w:t>
      </w:r>
      <w:r w:rsidR="003F741E" w:rsidRPr="00090F08">
        <w:rPr>
          <w:szCs w:val="28"/>
        </w:rPr>
        <w:t>О ветеранах</w:t>
      </w:r>
      <w:r w:rsidR="00523DD6" w:rsidRPr="00090F08">
        <w:rPr>
          <w:szCs w:val="28"/>
        </w:rPr>
        <w:t>»</w:t>
      </w:r>
      <w:r w:rsidR="003F741E" w:rsidRPr="00090F08">
        <w:rPr>
          <w:szCs w:val="28"/>
        </w:rPr>
        <w:t xml:space="preserve"> и от 24 ноября 1995 года № 181-ФЗ </w:t>
      </w:r>
      <w:r w:rsidR="00523DD6" w:rsidRPr="00090F08">
        <w:rPr>
          <w:szCs w:val="28"/>
        </w:rPr>
        <w:t>«</w:t>
      </w:r>
      <w:r w:rsidR="003F741E" w:rsidRPr="00090F08">
        <w:rPr>
          <w:szCs w:val="28"/>
        </w:rPr>
        <w:t>О социальной защите инвалидов в Российской Федерации</w:t>
      </w:r>
      <w:r w:rsidR="00523DD6" w:rsidRPr="00090F08">
        <w:rPr>
          <w:szCs w:val="28"/>
        </w:rPr>
        <w:t>»</w:t>
      </w:r>
      <w:r w:rsidR="00D13B9F" w:rsidRPr="00090F08">
        <w:rPr>
          <w:szCs w:val="28"/>
        </w:rPr>
        <w:t xml:space="preserve"> 1</w:t>
      </w:r>
      <w:r w:rsidR="00090F08">
        <w:rPr>
          <w:szCs w:val="28"/>
        </w:rPr>
        <w:t>669,0</w:t>
      </w:r>
      <w:r w:rsidR="003F741E" w:rsidRPr="00090F08">
        <w:rPr>
          <w:szCs w:val="28"/>
        </w:rPr>
        <w:t xml:space="preserve"> тыс.руб.,</w:t>
      </w:r>
    </w:p>
    <w:p w:rsidR="003F741E" w:rsidRPr="001027B7" w:rsidRDefault="00210A8B" w:rsidP="000474DC">
      <w:pPr>
        <w:jc w:val="both"/>
        <w:outlineLvl w:val="0"/>
      </w:pPr>
      <w:r w:rsidRPr="001027B7">
        <w:t>-</w:t>
      </w:r>
      <w:r w:rsidR="003F741E" w:rsidRPr="001027B7">
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</w:t>
      </w:r>
      <w:r w:rsidR="00F87B42" w:rsidRPr="001027B7">
        <w:t xml:space="preserve">- </w:t>
      </w:r>
      <w:r w:rsidR="003F741E" w:rsidRPr="001027B7">
        <w:t>1</w:t>
      </w:r>
      <w:r w:rsidR="001027B7" w:rsidRPr="001027B7">
        <w:t>2525</w:t>
      </w:r>
      <w:r w:rsidR="003F741E" w:rsidRPr="001027B7">
        <w:t>,0</w:t>
      </w:r>
      <w:r w:rsidR="00073634" w:rsidRPr="001027B7">
        <w:t xml:space="preserve"> </w:t>
      </w:r>
      <w:r w:rsidR="00073634" w:rsidRPr="001027B7">
        <w:rPr>
          <w:szCs w:val="28"/>
        </w:rPr>
        <w:t>тыс.руб.,</w:t>
      </w:r>
    </w:p>
    <w:p w:rsidR="003F741E" w:rsidRPr="006917A8" w:rsidRDefault="00210A8B" w:rsidP="000474DC">
      <w:pPr>
        <w:jc w:val="both"/>
        <w:outlineLvl w:val="0"/>
      </w:pPr>
      <w:r w:rsidRPr="006917A8">
        <w:t>-</w:t>
      </w:r>
      <w:r w:rsidR="003F741E" w:rsidRPr="006917A8">
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</w:t>
      </w:r>
      <w:r w:rsidR="006917A8" w:rsidRPr="006917A8">
        <w:t>–</w:t>
      </w:r>
      <w:r w:rsidR="00073634" w:rsidRPr="006917A8">
        <w:t xml:space="preserve"> </w:t>
      </w:r>
      <w:r w:rsidR="006917A8" w:rsidRPr="006917A8">
        <w:t>7893,2</w:t>
      </w:r>
      <w:r w:rsidR="00F64ED4" w:rsidRPr="006917A8">
        <w:t xml:space="preserve"> </w:t>
      </w:r>
      <w:r w:rsidR="00073634" w:rsidRPr="006917A8">
        <w:rPr>
          <w:szCs w:val="28"/>
        </w:rPr>
        <w:t>тыс.руб.,</w:t>
      </w:r>
    </w:p>
    <w:p w:rsidR="00073634" w:rsidRPr="00B04C27" w:rsidRDefault="00210A8B" w:rsidP="00523DD6">
      <w:pPr>
        <w:jc w:val="both"/>
        <w:rPr>
          <w:szCs w:val="28"/>
        </w:rPr>
      </w:pPr>
      <w:proofErr w:type="gramStart"/>
      <w:r w:rsidRPr="00B04C27">
        <w:t>-</w:t>
      </w:r>
      <w:r w:rsidR="003F741E" w:rsidRPr="00B04C27">
        <w:t xml:space="preserve"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</w:r>
      <w:r w:rsidR="00B04C27" w:rsidRPr="00B04C27">
        <w:t>–</w:t>
      </w:r>
      <w:r w:rsidR="00F87B42" w:rsidRPr="00B04C27">
        <w:t xml:space="preserve"> </w:t>
      </w:r>
      <w:r w:rsidR="00874CA1" w:rsidRPr="00B04C27">
        <w:t>1</w:t>
      </w:r>
      <w:r w:rsidR="00B04C27" w:rsidRPr="00B04C27">
        <w:t>7226,0</w:t>
      </w:r>
      <w:r w:rsidR="00874CA1" w:rsidRPr="00B04C27">
        <w:t xml:space="preserve"> </w:t>
      </w:r>
      <w:r w:rsidR="00073634" w:rsidRPr="00B04C27">
        <w:rPr>
          <w:szCs w:val="28"/>
        </w:rPr>
        <w:t>тыс.руб..</w:t>
      </w:r>
      <w:proofErr w:type="gramEnd"/>
    </w:p>
    <w:p w:rsidR="007600A6" w:rsidRPr="003F741E" w:rsidRDefault="00210A8B" w:rsidP="00523DD6">
      <w:pPr>
        <w:jc w:val="both"/>
      </w:pPr>
      <w:r w:rsidRPr="00B04C27">
        <w:t>-</w:t>
      </w:r>
      <w:r w:rsidR="00FD07FC" w:rsidRPr="00B04C27">
        <w:t xml:space="preserve">Осуществление государственного полномочия Республики Коми по отлову и содержанию безнадзорных животных </w:t>
      </w:r>
      <w:r w:rsidR="00B04C27" w:rsidRPr="00B04C27">
        <w:t>–</w:t>
      </w:r>
      <w:r w:rsidR="00F87B42" w:rsidRPr="00B04C27">
        <w:t xml:space="preserve"> </w:t>
      </w:r>
      <w:r w:rsidR="00B04C27" w:rsidRPr="00B04C27">
        <w:t>228,8</w:t>
      </w:r>
      <w:r w:rsidR="00073634" w:rsidRPr="00B04C27">
        <w:t xml:space="preserve"> </w:t>
      </w:r>
      <w:r w:rsidR="00073634" w:rsidRPr="00B04C27">
        <w:rPr>
          <w:szCs w:val="28"/>
        </w:rPr>
        <w:t>тыс.руб.</w:t>
      </w:r>
    </w:p>
    <w:p w:rsidR="00B748B4" w:rsidRDefault="00B748B4" w:rsidP="007600A6"/>
    <w:p w:rsidR="00991880" w:rsidRPr="003F741E" w:rsidRDefault="00991880" w:rsidP="007600A6"/>
    <w:p w:rsidR="00B748B4" w:rsidRDefault="00B748B4" w:rsidP="00B748B4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991880" w:rsidRPr="00596BBB" w:rsidRDefault="00991880" w:rsidP="00B748B4">
      <w:pPr>
        <w:jc w:val="center"/>
        <w:rPr>
          <w:b/>
        </w:rPr>
      </w:pPr>
    </w:p>
    <w:p w:rsidR="001D7756" w:rsidRDefault="001D7756" w:rsidP="001D7756">
      <w:pPr>
        <w:jc w:val="both"/>
      </w:pPr>
      <w:r>
        <w:t>Дефицит бюджета на 2019 год планиру</w:t>
      </w:r>
      <w:r w:rsidR="00457531">
        <w:t>е</w:t>
      </w:r>
      <w:r>
        <w:t xml:space="preserve">тся в сумме </w:t>
      </w:r>
      <w:r w:rsidR="00E41C8E">
        <w:t>15 000</w:t>
      </w:r>
      <w:r>
        <w:t xml:space="preserve"> тыс.руб., источниками финансирования которого </w:t>
      </w:r>
      <w:r w:rsidR="001C674F">
        <w:t>предусмотрены</w:t>
      </w:r>
      <w:bookmarkStart w:id="0" w:name="_GoBack"/>
      <w:bookmarkEnd w:id="0"/>
      <w:r>
        <w:t>:</w:t>
      </w:r>
    </w:p>
    <w:p w:rsidR="001D7756" w:rsidRDefault="001D7756" w:rsidP="001D7756">
      <w:pPr>
        <w:jc w:val="both"/>
      </w:pPr>
      <w:r>
        <w:t>-Привлечение кредитов из кредитных организаций – 15 000 тыс. руб. с ч</w:t>
      </w:r>
      <w:r w:rsidR="001630F5">
        <w:t>астичным погашением в 2019 году. В</w:t>
      </w:r>
      <w:r>
        <w:t xml:space="preserve"> составе источников учтена планируемая реструктуризация задолженности по бюджетному кредиту, окончательный срок уплаты которого наступает в 2019 году. По состоянию на 01 января 2019 года остаток задолженности по бюджетным кредитам составляет 2 936,0 тыс. руб.</w:t>
      </w:r>
    </w:p>
    <w:p w:rsidR="001D7756" w:rsidRDefault="001D7756" w:rsidP="001D7756">
      <w:pPr>
        <w:jc w:val="both"/>
      </w:pPr>
      <w:r>
        <w:t>В плановом периоде отмечается динамика снижения долговой нагрузки по бюджетным кредитам в связи с отсутствием мероприятий по привлечению заимствований в 2019 году, т.к. предоставление из республиканского бюджета Республики Коми бюджетных кредитов не предусмотрено.</w:t>
      </w:r>
    </w:p>
    <w:p w:rsidR="007600A6" w:rsidRDefault="001D7756" w:rsidP="001D7756">
      <w:pPr>
        <w:jc w:val="both"/>
      </w:pPr>
      <w:r>
        <w:t>-Остатки средств на счете.</w:t>
      </w:r>
    </w:p>
    <w:p w:rsidR="001D7756" w:rsidRDefault="001D7756" w:rsidP="001D7756">
      <w:pPr>
        <w:jc w:val="both"/>
      </w:pPr>
    </w:p>
    <w:p w:rsidR="001244A7" w:rsidRPr="00596BBB" w:rsidRDefault="001244A7" w:rsidP="001D7756">
      <w:pPr>
        <w:jc w:val="both"/>
      </w:pPr>
    </w:p>
    <w:p w:rsidR="0003023B" w:rsidRPr="00596BBB" w:rsidRDefault="00C24D35" w:rsidP="0003023B">
      <w:pPr>
        <w:jc w:val="both"/>
        <w:outlineLvl w:val="0"/>
      </w:pPr>
      <w:r>
        <w:t xml:space="preserve">Начальник </w:t>
      </w:r>
      <w:r w:rsidR="00991880">
        <w:t>у</w:t>
      </w:r>
      <w:r w:rsidR="0003023B" w:rsidRPr="00596BBB">
        <w:t xml:space="preserve">правления финансов </w:t>
      </w:r>
      <w:r>
        <w:t xml:space="preserve">                                                                  </w:t>
      </w:r>
      <w:r w:rsidR="0003023B" w:rsidRPr="00596BBB">
        <w:t>Г.А.Щербакова</w:t>
      </w:r>
    </w:p>
    <w:p w:rsidR="00044631" w:rsidRDefault="00044631" w:rsidP="007600A6">
      <w:pPr>
        <w:jc w:val="both"/>
      </w:pPr>
    </w:p>
    <w:p w:rsidR="00991880" w:rsidRDefault="00991880" w:rsidP="007600A6">
      <w:pPr>
        <w:jc w:val="both"/>
      </w:pPr>
    </w:p>
    <w:p w:rsidR="00B4081C" w:rsidRDefault="00B4081C" w:rsidP="007600A6">
      <w:pPr>
        <w:jc w:val="both"/>
      </w:pPr>
    </w:p>
    <w:p w:rsidR="0020386E" w:rsidRDefault="0020386E" w:rsidP="007600A6">
      <w:pPr>
        <w:jc w:val="both"/>
      </w:pPr>
    </w:p>
    <w:p w:rsidR="0020386E" w:rsidRDefault="0020386E" w:rsidP="007600A6">
      <w:pPr>
        <w:jc w:val="both"/>
      </w:pPr>
    </w:p>
    <w:p w:rsidR="00991880" w:rsidRPr="0020386E" w:rsidRDefault="0020386E" w:rsidP="007600A6">
      <w:pPr>
        <w:jc w:val="both"/>
        <w:rPr>
          <w:sz w:val="20"/>
          <w:szCs w:val="20"/>
        </w:rPr>
      </w:pPr>
      <w:r w:rsidRPr="0020386E">
        <w:rPr>
          <w:sz w:val="20"/>
          <w:szCs w:val="20"/>
        </w:rPr>
        <w:t>88213079207</w:t>
      </w:r>
    </w:p>
    <w:p w:rsidR="007600A6" w:rsidRDefault="004913E0" w:rsidP="00E35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Татьяна </w:t>
      </w:r>
      <w:r w:rsidR="00C02AFB" w:rsidRPr="00F220DA">
        <w:rPr>
          <w:sz w:val="20"/>
          <w:szCs w:val="20"/>
        </w:rPr>
        <w:t>К</w:t>
      </w:r>
      <w:r>
        <w:rPr>
          <w:sz w:val="20"/>
          <w:szCs w:val="20"/>
        </w:rPr>
        <w:t xml:space="preserve">имовна </w:t>
      </w:r>
      <w:r w:rsidR="00C02AFB" w:rsidRPr="00F220DA">
        <w:rPr>
          <w:sz w:val="20"/>
          <w:szCs w:val="20"/>
        </w:rPr>
        <w:t>Кузнецова</w:t>
      </w:r>
    </w:p>
    <w:p w:rsidR="0020386E" w:rsidRPr="00F220DA" w:rsidRDefault="0020386E" w:rsidP="00E359CE">
      <w:pPr>
        <w:jc w:val="both"/>
        <w:rPr>
          <w:sz w:val="20"/>
          <w:szCs w:val="20"/>
        </w:rPr>
      </w:pPr>
      <w:r>
        <w:rPr>
          <w:sz w:val="20"/>
          <w:szCs w:val="20"/>
        </w:rPr>
        <w:t>8821307589</w:t>
      </w:r>
    </w:p>
    <w:p w:rsidR="00C02AFB" w:rsidRPr="00F220DA" w:rsidRDefault="00C02AFB" w:rsidP="00E359CE">
      <w:pPr>
        <w:jc w:val="both"/>
        <w:rPr>
          <w:sz w:val="20"/>
          <w:szCs w:val="20"/>
        </w:rPr>
      </w:pPr>
      <w:r w:rsidRPr="00F220DA">
        <w:rPr>
          <w:sz w:val="20"/>
          <w:szCs w:val="20"/>
        </w:rPr>
        <w:t>М</w:t>
      </w:r>
      <w:r w:rsidR="004913E0">
        <w:rPr>
          <w:sz w:val="20"/>
          <w:szCs w:val="20"/>
        </w:rPr>
        <w:t xml:space="preserve">арина </w:t>
      </w:r>
      <w:r w:rsidRPr="00F220DA">
        <w:rPr>
          <w:sz w:val="20"/>
          <w:szCs w:val="20"/>
        </w:rPr>
        <w:t>И</w:t>
      </w:r>
      <w:r w:rsidR="004913E0">
        <w:rPr>
          <w:sz w:val="20"/>
          <w:szCs w:val="20"/>
        </w:rPr>
        <w:t xml:space="preserve">вановна </w:t>
      </w:r>
      <w:r w:rsidRPr="00F220DA">
        <w:rPr>
          <w:sz w:val="20"/>
          <w:szCs w:val="20"/>
        </w:rPr>
        <w:t>Абрамовская</w:t>
      </w:r>
    </w:p>
    <w:sectPr w:rsidR="00C02AFB" w:rsidRPr="00F220DA" w:rsidSect="003D1D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E70"/>
    <w:multiLevelType w:val="hybridMultilevel"/>
    <w:tmpl w:val="7D7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4CA"/>
    <w:multiLevelType w:val="hybridMultilevel"/>
    <w:tmpl w:val="F670D3D8"/>
    <w:lvl w:ilvl="0" w:tplc="88BAB23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8031C"/>
    <w:multiLevelType w:val="hybridMultilevel"/>
    <w:tmpl w:val="1518A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22D67"/>
    <w:multiLevelType w:val="hybridMultilevel"/>
    <w:tmpl w:val="F16A380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54255942"/>
    <w:multiLevelType w:val="multilevel"/>
    <w:tmpl w:val="0DFE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8F17AD"/>
    <w:multiLevelType w:val="hybridMultilevel"/>
    <w:tmpl w:val="4A20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E74AF"/>
    <w:multiLevelType w:val="hybridMultilevel"/>
    <w:tmpl w:val="50D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140"/>
    <w:rsid w:val="00001E6F"/>
    <w:rsid w:val="00002B0D"/>
    <w:rsid w:val="000037A2"/>
    <w:rsid w:val="00004F30"/>
    <w:rsid w:val="000125BF"/>
    <w:rsid w:val="00015F31"/>
    <w:rsid w:val="00016447"/>
    <w:rsid w:val="00017B44"/>
    <w:rsid w:val="00021938"/>
    <w:rsid w:val="00022526"/>
    <w:rsid w:val="000225C3"/>
    <w:rsid w:val="0002272B"/>
    <w:rsid w:val="00024B20"/>
    <w:rsid w:val="00025DCD"/>
    <w:rsid w:val="00026C30"/>
    <w:rsid w:val="0003023B"/>
    <w:rsid w:val="000329E0"/>
    <w:rsid w:val="00032F6E"/>
    <w:rsid w:val="00033C6B"/>
    <w:rsid w:val="00043EFD"/>
    <w:rsid w:val="00044631"/>
    <w:rsid w:val="00046881"/>
    <w:rsid w:val="000474DC"/>
    <w:rsid w:val="000533BF"/>
    <w:rsid w:val="0005644E"/>
    <w:rsid w:val="000568AF"/>
    <w:rsid w:val="000620F4"/>
    <w:rsid w:val="000638FB"/>
    <w:rsid w:val="00063EC5"/>
    <w:rsid w:val="00064F41"/>
    <w:rsid w:val="000652AC"/>
    <w:rsid w:val="00065D2A"/>
    <w:rsid w:val="00065E6C"/>
    <w:rsid w:val="000664C5"/>
    <w:rsid w:val="00067822"/>
    <w:rsid w:val="0007085D"/>
    <w:rsid w:val="00071E15"/>
    <w:rsid w:val="00073634"/>
    <w:rsid w:val="00075512"/>
    <w:rsid w:val="00075562"/>
    <w:rsid w:val="000769A4"/>
    <w:rsid w:val="000771E6"/>
    <w:rsid w:val="00080F7A"/>
    <w:rsid w:val="00090F08"/>
    <w:rsid w:val="00095A9A"/>
    <w:rsid w:val="00095ECD"/>
    <w:rsid w:val="00097C82"/>
    <w:rsid w:val="000A4787"/>
    <w:rsid w:val="000A4F54"/>
    <w:rsid w:val="000A5515"/>
    <w:rsid w:val="000B04BF"/>
    <w:rsid w:val="000B0DE5"/>
    <w:rsid w:val="000B4047"/>
    <w:rsid w:val="000B4058"/>
    <w:rsid w:val="000B412F"/>
    <w:rsid w:val="000B4896"/>
    <w:rsid w:val="000B7268"/>
    <w:rsid w:val="000C1D41"/>
    <w:rsid w:val="000D06EE"/>
    <w:rsid w:val="000D2A84"/>
    <w:rsid w:val="000D3A9D"/>
    <w:rsid w:val="000D4F04"/>
    <w:rsid w:val="000D63D1"/>
    <w:rsid w:val="000E1A93"/>
    <w:rsid w:val="000E4C7D"/>
    <w:rsid w:val="000F4F36"/>
    <w:rsid w:val="000F5005"/>
    <w:rsid w:val="000F5B30"/>
    <w:rsid w:val="000F61AD"/>
    <w:rsid w:val="000F78A6"/>
    <w:rsid w:val="001027B7"/>
    <w:rsid w:val="00103566"/>
    <w:rsid w:val="001045FD"/>
    <w:rsid w:val="001072F9"/>
    <w:rsid w:val="001106C5"/>
    <w:rsid w:val="00110E17"/>
    <w:rsid w:val="00112749"/>
    <w:rsid w:val="0011375C"/>
    <w:rsid w:val="001152E3"/>
    <w:rsid w:val="001244A7"/>
    <w:rsid w:val="00124D33"/>
    <w:rsid w:val="0013074E"/>
    <w:rsid w:val="00131AC3"/>
    <w:rsid w:val="00132327"/>
    <w:rsid w:val="00133545"/>
    <w:rsid w:val="0013379A"/>
    <w:rsid w:val="0013511B"/>
    <w:rsid w:val="001363F9"/>
    <w:rsid w:val="00144991"/>
    <w:rsid w:val="001449C7"/>
    <w:rsid w:val="00144C04"/>
    <w:rsid w:val="00144DAA"/>
    <w:rsid w:val="00147314"/>
    <w:rsid w:val="00150C08"/>
    <w:rsid w:val="0015768B"/>
    <w:rsid w:val="00157F2D"/>
    <w:rsid w:val="00160E43"/>
    <w:rsid w:val="0016125F"/>
    <w:rsid w:val="001630F5"/>
    <w:rsid w:val="00165F39"/>
    <w:rsid w:val="00172392"/>
    <w:rsid w:val="001736B9"/>
    <w:rsid w:val="0017405B"/>
    <w:rsid w:val="00174CB0"/>
    <w:rsid w:val="00177221"/>
    <w:rsid w:val="00177B95"/>
    <w:rsid w:val="00183F96"/>
    <w:rsid w:val="001848F0"/>
    <w:rsid w:val="00184DA9"/>
    <w:rsid w:val="00185881"/>
    <w:rsid w:val="0019092E"/>
    <w:rsid w:val="00190DAD"/>
    <w:rsid w:val="001918A8"/>
    <w:rsid w:val="001928F9"/>
    <w:rsid w:val="00195F79"/>
    <w:rsid w:val="00196CD8"/>
    <w:rsid w:val="00196E8C"/>
    <w:rsid w:val="00197555"/>
    <w:rsid w:val="00197F11"/>
    <w:rsid w:val="001A2FDE"/>
    <w:rsid w:val="001A36DF"/>
    <w:rsid w:val="001A5F1C"/>
    <w:rsid w:val="001A610A"/>
    <w:rsid w:val="001A6E83"/>
    <w:rsid w:val="001B5232"/>
    <w:rsid w:val="001B7169"/>
    <w:rsid w:val="001C00D8"/>
    <w:rsid w:val="001C0659"/>
    <w:rsid w:val="001C4C71"/>
    <w:rsid w:val="001C53A8"/>
    <w:rsid w:val="001C61FF"/>
    <w:rsid w:val="001C674F"/>
    <w:rsid w:val="001C7699"/>
    <w:rsid w:val="001D1F16"/>
    <w:rsid w:val="001D2B4F"/>
    <w:rsid w:val="001D3234"/>
    <w:rsid w:val="001D46FE"/>
    <w:rsid w:val="001D7295"/>
    <w:rsid w:val="001D7756"/>
    <w:rsid w:val="001E0BBB"/>
    <w:rsid w:val="001E100F"/>
    <w:rsid w:val="001E152A"/>
    <w:rsid w:val="001E1A35"/>
    <w:rsid w:val="001E2252"/>
    <w:rsid w:val="001E6975"/>
    <w:rsid w:val="001E7A97"/>
    <w:rsid w:val="001F018E"/>
    <w:rsid w:val="001F22A7"/>
    <w:rsid w:val="001F25C8"/>
    <w:rsid w:val="001F266A"/>
    <w:rsid w:val="001F2D96"/>
    <w:rsid w:val="001F524D"/>
    <w:rsid w:val="00200F2E"/>
    <w:rsid w:val="0020386E"/>
    <w:rsid w:val="00210A8B"/>
    <w:rsid w:val="00212932"/>
    <w:rsid w:val="00213A1F"/>
    <w:rsid w:val="0021444E"/>
    <w:rsid w:val="00215AD4"/>
    <w:rsid w:val="0021660C"/>
    <w:rsid w:val="00221D8A"/>
    <w:rsid w:val="00222B4D"/>
    <w:rsid w:val="00225DF6"/>
    <w:rsid w:val="00230C42"/>
    <w:rsid w:val="00233B39"/>
    <w:rsid w:val="00233BEF"/>
    <w:rsid w:val="00233FB0"/>
    <w:rsid w:val="00235526"/>
    <w:rsid w:val="00237425"/>
    <w:rsid w:val="002417D3"/>
    <w:rsid w:val="00243B57"/>
    <w:rsid w:val="00244B22"/>
    <w:rsid w:val="00244F65"/>
    <w:rsid w:val="0024639C"/>
    <w:rsid w:val="0025425F"/>
    <w:rsid w:val="00254537"/>
    <w:rsid w:val="00262035"/>
    <w:rsid w:val="002704F9"/>
    <w:rsid w:val="00272785"/>
    <w:rsid w:val="00273E86"/>
    <w:rsid w:val="00274D6D"/>
    <w:rsid w:val="0027541F"/>
    <w:rsid w:val="00275550"/>
    <w:rsid w:val="002761A1"/>
    <w:rsid w:val="00276C82"/>
    <w:rsid w:val="00280B25"/>
    <w:rsid w:val="00281F6C"/>
    <w:rsid w:val="00284468"/>
    <w:rsid w:val="00284AFB"/>
    <w:rsid w:val="0028744F"/>
    <w:rsid w:val="00296F17"/>
    <w:rsid w:val="002A2649"/>
    <w:rsid w:val="002A5488"/>
    <w:rsid w:val="002A648F"/>
    <w:rsid w:val="002A7563"/>
    <w:rsid w:val="002A7C26"/>
    <w:rsid w:val="002A7C7C"/>
    <w:rsid w:val="002B02EE"/>
    <w:rsid w:val="002B177D"/>
    <w:rsid w:val="002B39DE"/>
    <w:rsid w:val="002B548B"/>
    <w:rsid w:val="002B5533"/>
    <w:rsid w:val="002B7405"/>
    <w:rsid w:val="002C1A01"/>
    <w:rsid w:val="002C6C89"/>
    <w:rsid w:val="002D0C23"/>
    <w:rsid w:val="002D0E7A"/>
    <w:rsid w:val="002D6688"/>
    <w:rsid w:val="002E3E21"/>
    <w:rsid w:val="002E6610"/>
    <w:rsid w:val="002E74B7"/>
    <w:rsid w:val="002F588F"/>
    <w:rsid w:val="002F5F04"/>
    <w:rsid w:val="00305B52"/>
    <w:rsid w:val="00305E3B"/>
    <w:rsid w:val="00305E67"/>
    <w:rsid w:val="00306E96"/>
    <w:rsid w:val="00307520"/>
    <w:rsid w:val="0031237E"/>
    <w:rsid w:val="003126A9"/>
    <w:rsid w:val="00313A1F"/>
    <w:rsid w:val="00326C7B"/>
    <w:rsid w:val="00330DC0"/>
    <w:rsid w:val="00330FC2"/>
    <w:rsid w:val="00331231"/>
    <w:rsid w:val="003332C9"/>
    <w:rsid w:val="00334E94"/>
    <w:rsid w:val="0033528C"/>
    <w:rsid w:val="00335432"/>
    <w:rsid w:val="0034163E"/>
    <w:rsid w:val="003425D5"/>
    <w:rsid w:val="003429E9"/>
    <w:rsid w:val="00343F49"/>
    <w:rsid w:val="0034447A"/>
    <w:rsid w:val="003478F3"/>
    <w:rsid w:val="00347A98"/>
    <w:rsid w:val="00356186"/>
    <w:rsid w:val="00356D5A"/>
    <w:rsid w:val="00357263"/>
    <w:rsid w:val="0036146D"/>
    <w:rsid w:val="00362FA6"/>
    <w:rsid w:val="00363999"/>
    <w:rsid w:val="00367CE5"/>
    <w:rsid w:val="003721F8"/>
    <w:rsid w:val="00372292"/>
    <w:rsid w:val="003722B4"/>
    <w:rsid w:val="00373468"/>
    <w:rsid w:val="003747D0"/>
    <w:rsid w:val="003763BF"/>
    <w:rsid w:val="00377A02"/>
    <w:rsid w:val="00377A84"/>
    <w:rsid w:val="0038166D"/>
    <w:rsid w:val="00384181"/>
    <w:rsid w:val="003856B8"/>
    <w:rsid w:val="00385932"/>
    <w:rsid w:val="0039009A"/>
    <w:rsid w:val="00390491"/>
    <w:rsid w:val="0039052D"/>
    <w:rsid w:val="00391C2C"/>
    <w:rsid w:val="003943A5"/>
    <w:rsid w:val="003A23A0"/>
    <w:rsid w:val="003A43BE"/>
    <w:rsid w:val="003A487D"/>
    <w:rsid w:val="003A6C5D"/>
    <w:rsid w:val="003B190C"/>
    <w:rsid w:val="003B26AF"/>
    <w:rsid w:val="003B65E5"/>
    <w:rsid w:val="003B79F1"/>
    <w:rsid w:val="003C0356"/>
    <w:rsid w:val="003C1510"/>
    <w:rsid w:val="003C5AC8"/>
    <w:rsid w:val="003C6371"/>
    <w:rsid w:val="003C699F"/>
    <w:rsid w:val="003D1D23"/>
    <w:rsid w:val="003D1E1F"/>
    <w:rsid w:val="003D4165"/>
    <w:rsid w:val="003D4B3B"/>
    <w:rsid w:val="003D5502"/>
    <w:rsid w:val="003E1862"/>
    <w:rsid w:val="003E2815"/>
    <w:rsid w:val="003E2DBC"/>
    <w:rsid w:val="003E3A13"/>
    <w:rsid w:val="003F259D"/>
    <w:rsid w:val="003F3395"/>
    <w:rsid w:val="003F54F9"/>
    <w:rsid w:val="003F741E"/>
    <w:rsid w:val="003F7B7B"/>
    <w:rsid w:val="0040154A"/>
    <w:rsid w:val="00402008"/>
    <w:rsid w:val="00406B39"/>
    <w:rsid w:val="004154A2"/>
    <w:rsid w:val="00420300"/>
    <w:rsid w:val="0042102D"/>
    <w:rsid w:val="004211B2"/>
    <w:rsid w:val="00431D82"/>
    <w:rsid w:val="004327CE"/>
    <w:rsid w:val="0043450F"/>
    <w:rsid w:val="00434AD0"/>
    <w:rsid w:val="00441A49"/>
    <w:rsid w:val="004447F6"/>
    <w:rsid w:val="00452B9A"/>
    <w:rsid w:val="0045591C"/>
    <w:rsid w:val="0045683D"/>
    <w:rsid w:val="0045707D"/>
    <w:rsid w:val="00457531"/>
    <w:rsid w:val="004603BC"/>
    <w:rsid w:val="00462D83"/>
    <w:rsid w:val="00463443"/>
    <w:rsid w:val="00463C4C"/>
    <w:rsid w:val="004657E8"/>
    <w:rsid w:val="004764E8"/>
    <w:rsid w:val="00480C94"/>
    <w:rsid w:val="00480D50"/>
    <w:rsid w:val="00482582"/>
    <w:rsid w:val="00484AD1"/>
    <w:rsid w:val="00486141"/>
    <w:rsid w:val="00487AA1"/>
    <w:rsid w:val="004907E6"/>
    <w:rsid w:val="004913E0"/>
    <w:rsid w:val="0049170E"/>
    <w:rsid w:val="00494B27"/>
    <w:rsid w:val="00496AE6"/>
    <w:rsid w:val="00497689"/>
    <w:rsid w:val="004A09AA"/>
    <w:rsid w:val="004A1032"/>
    <w:rsid w:val="004A23F9"/>
    <w:rsid w:val="004A2510"/>
    <w:rsid w:val="004A3360"/>
    <w:rsid w:val="004B2003"/>
    <w:rsid w:val="004B26AF"/>
    <w:rsid w:val="004C3288"/>
    <w:rsid w:val="004C6685"/>
    <w:rsid w:val="004D2374"/>
    <w:rsid w:val="004D34CD"/>
    <w:rsid w:val="004D3764"/>
    <w:rsid w:val="004D546F"/>
    <w:rsid w:val="004D5EE2"/>
    <w:rsid w:val="004D699B"/>
    <w:rsid w:val="004E2A45"/>
    <w:rsid w:val="004E3893"/>
    <w:rsid w:val="004E62E6"/>
    <w:rsid w:val="004E64DC"/>
    <w:rsid w:val="004E68C0"/>
    <w:rsid w:val="004F3D4A"/>
    <w:rsid w:val="004F42FC"/>
    <w:rsid w:val="004F5D33"/>
    <w:rsid w:val="004F6DC6"/>
    <w:rsid w:val="004F7381"/>
    <w:rsid w:val="004F796B"/>
    <w:rsid w:val="0050213D"/>
    <w:rsid w:val="0050245E"/>
    <w:rsid w:val="00502D85"/>
    <w:rsid w:val="0050351E"/>
    <w:rsid w:val="00506793"/>
    <w:rsid w:val="005078A7"/>
    <w:rsid w:val="00507AC0"/>
    <w:rsid w:val="00510AE0"/>
    <w:rsid w:val="0051298C"/>
    <w:rsid w:val="00513070"/>
    <w:rsid w:val="00514E7C"/>
    <w:rsid w:val="00515655"/>
    <w:rsid w:val="00515A29"/>
    <w:rsid w:val="00516866"/>
    <w:rsid w:val="0051699E"/>
    <w:rsid w:val="005201FF"/>
    <w:rsid w:val="005219F6"/>
    <w:rsid w:val="00521DB8"/>
    <w:rsid w:val="00523DD6"/>
    <w:rsid w:val="00523F1E"/>
    <w:rsid w:val="005255B0"/>
    <w:rsid w:val="00530663"/>
    <w:rsid w:val="00537348"/>
    <w:rsid w:val="00537A7E"/>
    <w:rsid w:val="00537D75"/>
    <w:rsid w:val="00537FDE"/>
    <w:rsid w:val="00542AE2"/>
    <w:rsid w:val="00543955"/>
    <w:rsid w:val="00546349"/>
    <w:rsid w:val="00547C47"/>
    <w:rsid w:val="0055062C"/>
    <w:rsid w:val="00550B4A"/>
    <w:rsid w:val="00550BCD"/>
    <w:rsid w:val="00550D59"/>
    <w:rsid w:val="00554E47"/>
    <w:rsid w:val="005565A2"/>
    <w:rsid w:val="00557D67"/>
    <w:rsid w:val="00565BE9"/>
    <w:rsid w:val="005666EA"/>
    <w:rsid w:val="005712BB"/>
    <w:rsid w:val="00572106"/>
    <w:rsid w:val="00572168"/>
    <w:rsid w:val="005726DC"/>
    <w:rsid w:val="00572D2D"/>
    <w:rsid w:val="005734B4"/>
    <w:rsid w:val="00574046"/>
    <w:rsid w:val="00574E4B"/>
    <w:rsid w:val="005758E2"/>
    <w:rsid w:val="00577BF9"/>
    <w:rsid w:val="00582324"/>
    <w:rsid w:val="00582581"/>
    <w:rsid w:val="00585697"/>
    <w:rsid w:val="0059588B"/>
    <w:rsid w:val="00595B13"/>
    <w:rsid w:val="00596BBB"/>
    <w:rsid w:val="005977DF"/>
    <w:rsid w:val="00597AA0"/>
    <w:rsid w:val="00597B9B"/>
    <w:rsid w:val="00597F3A"/>
    <w:rsid w:val="005A0A20"/>
    <w:rsid w:val="005A2896"/>
    <w:rsid w:val="005A7A74"/>
    <w:rsid w:val="005B1EA9"/>
    <w:rsid w:val="005B29AC"/>
    <w:rsid w:val="005B2FC2"/>
    <w:rsid w:val="005C295F"/>
    <w:rsid w:val="005C50D6"/>
    <w:rsid w:val="005D3A92"/>
    <w:rsid w:val="005E057E"/>
    <w:rsid w:val="005E1D7D"/>
    <w:rsid w:val="005E204C"/>
    <w:rsid w:val="005E25E4"/>
    <w:rsid w:val="005E3569"/>
    <w:rsid w:val="005E5025"/>
    <w:rsid w:val="005F1945"/>
    <w:rsid w:val="005F3D57"/>
    <w:rsid w:val="005F41F1"/>
    <w:rsid w:val="005F6810"/>
    <w:rsid w:val="00600520"/>
    <w:rsid w:val="006021FD"/>
    <w:rsid w:val="00602F2A"/>
    <w:rsid w:val="006066A9"/>
    <w:rsid w:val="00610D44"/>
    <w:rsid w:val="006113FA"/>
    <w:rsid w:val="0061419B"/>
    <w:rsid w:val="00616928"/>
    <w:rsid w:val="0061709B"/>
    <w:rsid w:val="00617626"/>
    <w:rsid w:val="00620C72"/>
    <w:rsid w:val="00621269"/>
    <w:rsid w:val="00622DD9"/>
    <w:rsid w:val="00624377"/>
    <w:rsid w:val="00626B9C"/>
    <w:rsid w:val="00630A79"/>
    <w:rsid w:val="006324F7"/>
    <w:rsid w:val="0063337A"/>
    <w:rsid w:val="006340BB"/>
    <w:rsid w:val="00636AAB"/>
    <w:rsid w:val="0063799A"/>
    <w:rsid w:val="00647FC5"/>
    <w:rsid w:val="00652557"/>
    <w:rsid w:val="00653447"/>
    <w:rsid w:val="00655B0E"/>
    <w:rsid w:val="0066035E"/>
    <w:rsid w:val="00660846"/>
    <w:rsid w:val="006612B9"/>
    <w:rsid w:val="0066165E"/>
    <w:rsid w:val="00661CF8"/>
    <w:rsid w:val="00662013"/>
    <w:rsid w:val="00663702"/>
    <w:rsid w:val="00664A6A"/>
    <w:rsid w:val="00672281"/>
    <w:rsid w:val="00673498"/>
    <w:rsid w:val="00674DC3"/>
    <w:rsid w:val="0067525B"/>
    <w:rsid w:val="006760CD"/>
    <w:rsid w:val="006771AA"/>
    <w:rsid w:val="00680179"/>
    <w:rsid w:val="00682C93"/>
    <w:rsid w:val="0068675E"/>
    <w:rsid w:val="00686D45"/>
    <w:rsid w:val="00690242"/>
    <w:rsid w:val="006908DF"/>
    <w:rsid w:val="006917A8"/>
    <w:rsid w:val="00692376"/>
    <w:rsid w:val="006957A0"/>
    <w:rsid w:val="006A0D9C"/>
    <w:rsid w:val="006A0DF7"/>
    <w:rsid w:val="006A2C04"/>
    <w:rsid w:val="006A2D5F"/>
    <w:rsid w:val="006A30D2"/>
    <w:rsid w:val="006A3C66"/>
    <w:rsid w:val="006A79DF"/>
    <w:rsid w:val="006B2160"/>
    <w:rsid w:val="006B320C"/>
    <w:rsid w:val="006B5FC1"/>
    <w:rsid w:val="006B6BBB"/>
    <w:rsid w:val="006C4857"/>
    <w:rsid w:val="006D0214"/>
    <w:rsid w:val="006E01CA"/>
    <w:rsid w:val="006E4745"/>
    <w:rsid w:val="006E617C"/>
    <w:rsid w:val="006F5037"/>
    <w:rsid w:val="006F5BC1"/>
    <w:rsid w:val="0070124D"/>
    <w:rsid w:val="007039AF"/>
    <w:rsid w:val="00704D4C"/>
    <w:rsid w:val="0071174B"/>
    <w:rsid w:val="00715C01"/>
    <w:rsid w:val="00720BDC"/>
    <w:rsid w:val="00722F23"/>
    <w:rsid w:val="007274E7"/>
    <w:rsid w:val="00736930"/>
    <w:rsid w:val="00741658"/>
    <w:rsid w:val="00743D68"/>
    <w:rsid w:val="00745303"/>
    <w:rsid w:val="007457DC"/>
    <w:rsid w:val="00751C82"/>
    <w:rsid w:val="007525D0"/>
    <w:rsid w:val="00753867"/>
    <w:rsid w:val="0075515B"/>
    <w:rsid w:val="00755FE2"/>
    <w:rsid w:val="007600A6"/>
    <w:rsid w:val="0076074B"/>
    <w:rsid w:val="00765B50"/>
    <w:rsid w:val="007676F4"/>
    <w:rsid w:val="00771042"/>
    <w:rsid w:val="00773A16"/>
    <w:rsid w:val="00773AD2"/>
    <w:rsid w:val="00776A82"/>
    <w:rsid w:val="007806F4"/>
    <w:rsid w:val="0078128B"/>
    <w:rsid w:val="00784E32"/>
    <w:rsid w:val="00786647"/>
    <w:rsid w:val="00787D74"/>
    <w:rsid w:val="0079041C"/>
    <w:rsid w:val="00790F36"/>
    <w:rsid w:val="00791FA6"/>
    <w:rsid w:val="00792DEE"/>
    <w:rsid w:val="00793212"/>
    <w:rsid w:val="007A0151"/>
    <w:rsid w:val="007A1B24"/>
    <w:rsid w:val="007A2866"/>
    <w:rsid w:val="007A4BB7"/>
    <w:rsid w:val="007A59AA"/>
    <w:rsid w:val="007A7DD9"/>
    <w:rsid w:val="007A7DE7"/>
    <w:rsid w:val="007B0F37"/>
    <w:rsid w:val="007B1B09"/>
    <w:rsid w:val="007B370F"/>
    <w:rsid w:val="007B462E"/>
    <w:rsid w:val="007B5295"/>
    <w:rsid w:val="007B6B51"/>
    <w:rsid w:val="007B7C77"/>
    <w:rsid w:val="007C4561"/>
    <w:rsid w:val="007C5518"/>
    <w:rsid w:val="007C6D1A"/>
    <w:rsid w:val="007C7120"/>
    <w:rsid w:val="007C7BDF"/>
    <w:rsid w:val="007D56AF"/>
    <w:rsid w:val="007D5744"/>
    <w:rsid w:val="007D5820"/>
    <w:rsid w:val="007D6C44"/>
    <w:rsid w:val="007F16EF"/>
    <w:rsid w:val="007F2044"/>
    <w:rsid w:val="007F3B9C"/>
    <w:rsid w:val="007F3C90"/>
    <w:rsid w:val="007F3F73"/>
    <w:rsid w:val="00800780"/>
    <w:rsid w:val="00803229"/>
    <w:rsid w:val="008034F0"/>
    <w:rsid w:val="00804234"/>
    <w:rsid w:val="00804804"/>
    <w:rsid w:val="00804F7F"/>
    <w:rsid w:val="00810A0A"/>
    <w:rsid w:val="00810E29"/>
    <w:rsid w:val="0081276E"/>
    <w:rsid w:val="00813AA1"/>
    <w:rsid w:val="0082143C"/>
    <w:rsid w:val="00822CEA"/>
    <w:rsid w:val="00825133"/>
    <w:rsid w:val="00827729"/>
    <w:rsid w:val="00833D26"/>
    <w:rsid w:val="00836A90"/>
    <w:rsid w:val="0084116B"/>
    <w:rsid w:val="00842140"/>
    <w:rsid w:val="0084423C"/>
    <w:rsid w:val="00845CA2"/>
    <w:rsid w:val="00846CCB"/>
    <w:rsid w:val="00847D41"/>
    <w:rsid w:val="00847D4D"/>
    <w:rsid w:val="008503C9"/>
    <w:rsid w:val="008516BB"/>
    <w:rsid w:val="00852737"/>
    <w:rsid w:val="00855101"/>
    <w:rsid w:val="00855672"/>
    <w:rsid w:val="00861946"/>
    <w:rsid w:val="00865C8A"/>
    <w:rsid w:val="00865F64"/>
    <w:rsid w:val="00867826"/>
    <w:rsid w:val="00867971"/>
    <w:rsid w:val="00867A2D"/>
    <w:rsid w:val="00873F4D"/>
    <w:rsid w:val="00874CA1"/>
    <w:rsid w:val="0087568A"/>
    <w:rsid w:val="00875B38"/>
    <w:rsid w:val="00876701"/>
    <w:rsid w:val="00881FB0"/>
    <w:rsid w:val="00883917"/>
    <w:rsid w:val="0088528A"/>
    <w:rsid w:val="00885A64"/>
    <w:rsid w:val="00890A9D"/>
    <w:rsid w:val="00890B1A"/>
    <w:rsid w:val="00891845"/>
    <w:rsid w:val="00896071"/>
    <w:rsid w:val="00897110"/>
    <w:rsid w:val="008971A9"/>
    <w:rsid w:val="008B1555"/>
    <w:rsid w:val="008B2189"/>
    <w:rsid w:val="008B4333"/>
    <w:rsid w:val="008B4D7A"/>
    <w:rsid w:val="008B4E5E"/>
    <w:rsid w:val="008B70D1"/>
    <w:rsid w:val="008B7AD6"/>
    <w:rsid w:val="008C0285"/>
    <w:rsid w:val="008C1398"/>
    <w:rsid w:val="008C14C0"/>
    <w:rsid w:val="008C406C"/>
    <w:rsid w:val="008C4A9B"/>
    <w:rsid w:val="008C69B0"/>
    <w:rsid w:val="008C717F"/>
    <w:rsid w:val="008D16AF"/>
    <w:rsid w:val="008D22DC"/>
    <w:rsid w:val="008D25F2"/>
    <w:rsid w:val="008D4BE9"/>
    <w:rsid w:val="008D5615"/>
    <w:rsid w:val="008D737D"/>
    <w:rsid w:val="008D78FB"/>
    <w:rsid w:val="008E4887"/>
    <w:rsid w:val="008E491B"/>
    <w:rsid w:val="008F038F"/>
    <w:rsid w:val="008F2761"/>
    <w:rsid w:val="008F4163"/>
    <w:rsid w:val="008F5C13"/>
    <w:rsid w:val="008F6E15"/>
    <w:rsid w:val="00900590"/>
    <w:rsid w:val="00902EFA"/>
    <w:rsid w:val="00905F4C"/>
    <w:rsid w:val="00906712"/>
    <w:rsid w:val="009100A0"/>
    <w:rsid w:val="00913245"/>
    <w:rsid w:val="0091349A"/>
    <w:rsid w:val="00915E52"/>
    <w:rsid w:val="00916C35"/>
    <w:rsid w:val="00917585"/>
    <w:rsid w:val="009210B2"/>
    <w:rsid w:val="00921133"/>
    <w:rsid w:val="009222E8"/>
    <w:rsid w:val="00924261"/>
    <w:rsid w:val="00926041"/>
    <w:rsid w:val="009262A2"/>
    <w:rsid w:val="00926504"/>
    <w:rsid w:val="00927793"/>
    <w:rsid w:val="0093036B"/>
    <w:rsid w:val="00934B5A"/>
    <w:rsid w:val="00934BD7"/>
    <w:rsid w:val="00935AF8"/>
    <w:rsid w:val="00935F53"/>
    <w:rsid w:val="0094113A"/>
    <w:rsid w:val="00943DE3"/>
    <w:rsid w:val="00944C4F"/>
    <w:rsid w:val="0095044C"/>
    <w:rsid w:val="00952691"/>
    <w:rsid w:val="00953E8F"/>
    <w:rsid w:val="00954FE2"/>
    <w:rsid w:val="00957042"/>
    <w:rsid w:val="00957F80"/>
    <w:rsid w:val="009640A5"/>
    <w:rsid w:val="0096431B"/>
    <w:rsid w:val="00964F23"/>
    <w:rsid w:val="00970A2E"/>
    <w:rsid w:val="00975C0F"/>
    <w:rsid w:val="00976036"/>
    <w:rsid w:val="0097652C"/>
    <w:rsid w:val="00981AE9"/>
    <w:rsid w:val="00984766"/>
    <w:rsid w:val="00987738"/>
    <w:rsid w:val="00991880"/>
    <w:rsid w:val="0099371B"/>
    <w:rsid w:val="00996478"/>
    <w:rsid w:val="00997253"/>
    <w:rsid w:val="009A0113"/>
    <w:rsid w:val="009A0FA6"/>
    <w:rsid w:val="009A1658"/>
    <w:rsid w:val="009A4C5A"/>
    <w:rsid w:val="009A5C41"/>
    <w:rsid w:val="009A7615"/>
    <w:rsid w:val="009B3EF4"/>
    <w:rsid w:val="009B48F4"/>
    <w:rsid w:val="009B7BEE"/>
    <w:rsid w:val="009C00CA"/>
    <w:rsid w:val="009C1601"/>
    <w:rsid w:val="009C1861"/>
    <w:rsid w:val="009C19A9"/>
    <w:rsid w:val="009C2DA9"/>
    <w:rsid w:val="009C45E4"/>
    <w:rsid w:val="009C58C4"/>
    <w:rsid w:val="009C5AF3"/>
    <w:rsid w:val="009C665B"/>
    <w:rsid w:val="009C6DFA"/>
    <w:rsid w:val="009C71EC"/>
    <w:rsid w:val="009D1AF7"/>
    <w:rsid w:val="009D3F10"/>
    <w:rsid w:val="009D429B"/>
    <w:rsid w:val="009D4BF1"/>
    <w:rsid w:val="009D565A"/>
    <w:rsid w:val="009D6C61"/>
    <w:rsid w:val="009D78C1"/>
    <w:rsid w:val="009E01C3"/>
    <w:rsid w:val="009E362F"/>
    <w:rsid w:val="009E5CCB"/>
    <w:rsid w:val="009E61C0"/>
    <w:rsid w:val="009F1BFB"/>
    <w:rsid w:val="009F3D2B"/>
    <w:rsid w:val="009F5F50"/>
    <w:rsid w:val="00A029A1"/>
    <w:rsid w:val="00A044E3"/>
    <w:rsid w:val="00A045F1"/>
    <w:rsid w:val="00A0460D"/>
    <w:rsid w:val="00A04A70"/>
    <w:rsid w:val="00A13695"/>
    <w:rsid w:val="00A145A1"/>
    <w:rsid w:val="00A14EB6"/>
    <w:rsid w:val="00A1730E"/>
    <w:rsid w:val="00A20EC4"/>
    <w:rsid w:val="00A24066"/>
    <w:rsid w:val="00A27197"/>
    <w:rsid w:val="00A32CE9"/>
    <w:rsid w:val="00A363F4"/>
    <w:rsid w:val="00A41187"/>
    <w:rsid w:val="00A414F7"/>
    <w:rsid w:val="00A433C2"/>
    <w:rsid w:val="00A4346F"/>
    <w:rsid w:val="00A44488"/>
    <w:rsid w:val="00A47B99"/>
    <w:rsid w:val="00A519E9"/>
    <w:rsid w:val="00A5224A"/>
    <w:rsid w:val="00A52325"/>
    <w:rsid w:val="00A53004"/>
    <w:rsid w:val="00A53468"/>
    <w:rsid w:val="00A537CC"/>
    <w:rsid w:val="00A60210"/>
    <w:rsid w:val="00A620B5"/>
    <w:rsid w:val="00A631C3"/>
    <w:rsid w:val="00A63D56"/>
    <w:rsid w:val="00A64412"/>
    <w:rsid w:val="00A700E4"/>
    <w:rsid w:val="00A74772"/>
    <w:rsid w:val="00A77BA9"/>
    <w:rsid w:val="00A80DB6"/>
    <w:rsid w:val="00A83662"/>
    <w:rsid w:val="00A852FE"/>
    <w:rsid w:val="00A87208"/>
    <w:rsid w:val="00A87961"/>
    <w:rsid w:val="00A95C95"/>
    <w:rsid w:val="00A9654F"/>
    <w:rsid w:val="00AA0035"/>
    <w:rsid w:val="00AA313E"/>
    <w:rsid w:val="00AA3FBB"/>
    <w:rsid w:val="00AA61C0"/>
    <w:rsid w:val="00AA703B"/>
    <w:rsid w:val="00AB21B2"/>
    <w:rsid w:val="00AB2EE1"/>
    <w:rsid w:val="00AB446E"/>
    <w:rsid w:val="00AB61F7"/>
    <w:rsid w:val="00AB7A84"/>
    <w:rsid w:val="00AC2F39"/>
    <w:rsid w:val="00AC399D"/>
    <w:rsid w:val="00AC3ED9"/>
    <w:rsid w:val="00AC3FF3"/>
    <w:rsid w:val="00AC4D39"/>
    <w:rsid w:val="00AC60B3"/>
    <w:rsid w:val="00AC69BF"/>
    <w:rsid w:val="00AC6DE3"/>
    <w:rsid w:val="00AC6E38"/>
    <w:rsid w:val="00AD5EBC"/>
    <w:rsid w:val="00AD7B87"/>
    <w:rsid w:val="00AE63B3"/>
    <w:rsid w:val="00AE74B8"/>
    <w:rsid w:val="00AF048D"/>
    <w:rsid w:val="00AF6004"/>
    <w:rsid w:val="00AF6F22"/>
    <w:rsid w:val="00B02DA9"/>
    <w:rsid w:val="00B02E64"/>
    <w:rsid w:val="00B04B79"/>
    <w:rsid w:val="00B04C27"/>
    <w:rsid w:val="00B05EAC"/>
    <w:rsid w:val="00B10ED5"/>
    <w:rsid w:val="00B1275E"/>
    <w:rsid w:val="00B13720"/>
    <w:rsid w:val="00B1396E"/>
    <w:rsid w:val="00B14251"/>
    <w:rsid w:val="00B15C72"/>
    <w:rsid w:val="00B16F0E"/>
    <w:rsid w:val="00B1780B"/>
    <w:rsid w:val="00B254B7"/>
    <w:rsid w:val="00B31DF4"/>
    <w:rsid w:val="00B32173"/>
    <w:rsid w:val="00B3304F"/>
    <w:rsid w:val="00B34ED7"/>
    <w:rsid w:val="00B34FB5"/>
    <w:rsid w:val="00B3544E"/>
    <w:rsid w:val="00B37C2B"/>
    <w:rsid w:val="00B4081C"/>
    <w:rsid w:val="00B42163"/>
    <w:rsid w:val="00B42517"/>
    <w:rsid w:val="00B43FE0"/>
    <w:rsid w:val="00B44472"/>
    <w:rsid w:val="00B44F4C"/>
    <w:rsid w:val="00B46850"/>
    <w:rsid w:val="00B50349"/>
    <w:rsid w:val="00B50DF2"/>
    <w:rsid w:val="00B53246"/>
    <w:rsid w:val="00B53BE4"/>
    <w:rsid w:val="00B53CF6"/>
    <w:rsid w:val="00B564FD"/>
    <w:rsid w:val="00B6292D"/>
    <w:rsid w:val="00B62F83"/>
    <w:rsid w:val="00B668BD"/>
    <w:rsid w:val="00B725FC"/>
    <w:rsid w:val="00B73397"/>
    <w:rsid w:val="00B74809"/>
    <w:rsid w:val="00B748B4"/>
    <w:rsid w:val="00B8035C"/>
    <w:rsid w:val="00B80D0F"/>
    <w:rsid w:val="00B81C3D"/>
    <w:rsid w:val="00B81E0B"/>
    <w:rsid w:val="00B83159"/>
    <w:rsid w:val="00B8321E"/>
    <w:rsid w:val="00B8602B"/>
    <w:rsid w:val="00B927F5"/>
    <w:rsid w:val="00B96B58"/>
    <w:rsid w:val="00B977B6"/>
    <w:rsid w:val="00BA21F5"/>
    <w:rsid w:val="00BA436B"/>
    <w:rsid w:val="00BA57DB"/>
    <w:rsid w:val="00BA5E10"/>
    <w:rsid w:val="00BA6C2E"/>
    <w:rsid w:val="00BB1E04"/>
    <w:rsid w:val="00BB4577"/>
    <w:rsid w:val="00BB4A2E"/>
    <w:rsid w:val="00BB5973"/>
    <w:rsid w:val="00BC15ED"/>
    <w:rsid w:val="00BC4B6C"/>
    <w:rsid w:val="00BD0050"/>
    <w:rsid w:val="00BD38BF"/>
    <w:rsid w:val="00BD74CB"/>
    <w:rsid w:val="00BE16B1"/>
    <w:rsid w:val="00BE4150"/>
    <w:rsid w:val="00BE4F81"/>
    <w:rsid w:val="00BE543C"/>
    <w:rsid w:val="00BE584A"/>
    <w:rsid w:val="00BE6A3A"/>
    <w:rsid w:val="00BF14CA"/>
    <w:rsid w:val="00BF19B7"/>
    <w:rsid w:val="00BF3D55"/>
    <w:rsid w:val="00BF5882"/>
    <w:rsid w:val="00BF5A6F"/>
    <w:rsid w:val="00BF7AFE"/>
    <w:rsid w:val="00C00904"/>
    <w:rsid w:val="00C026C1"/>
    <w:rsid w:val="00C02AFB"/>
    <w:rsid w:val="00C04FBA"/>
    <w:rsid w:val="00C05C30"/>
    <w:rsid w:val="00C06BDD"/>
    <w:rsid w:val="00C13514"/>
    <w:rsid w:val="00C13787"/>
    <w:rsid w:val="00C20ABC"/>
    <w:rsid w:val="00C23EA8"/>
    <w:rsid w:val="00C24D35"/>
    <w:rsid w:val="00C25029"/>
    <w:rsid w:val="00C25D03"/>
    <w:rsid w:val="00C33F28"/>
    <w:rsid w:val="00C36120"/>
    <w:rsid w:val="00C41D76"/>
    <w:rsid w:val="00C4550F"/>
    <w:rsid w:val="00C4590D"/>
    <w:rsid w:val="00C45F58"/>
    <w:rsid w:val="00C466B3"/>
    <w:rsid w:val="00C50CFC"/>
    <w:rsid w:val="00C5137E"/>
    <w:rsid w:val="00C530E2"/>
    <w:rsid w:val="00C545FF"/>
    <w:rsid w:val="00C569EB"/>
    <w:rsid w:val="00C57127"/>
    <w:rsid w:val="00C571A7"/>
    <w:rsid w:val="00C60B27"/>
    <w:rsid w:val="00C639F5"/>
    <w:rsid w:val="00C65B78"/>
    <w:rsid w:val="00C664C6"/>
    <w:rsid w:val="00C66543"/>
    <w:rsid w:val="00C72038"/>
    <w:rsid w:val="00C737E1"/>
    <w:rsid w:val="00C74212"/>
    <w:rsid w:val="00C77521"/>
    <w:rsid w:val="00C77A5C"/>
    <w:rsid w:val="00C77F50"/>
    <w:rsid w:val="00C82ADD"/>
    <w:rsid w:val="00C847D9"/>
    <w:rsid w:val="00C852BC"/>
    <w:rsid w:val="00C852E6"/>
    <w:rsid w:val="00C86EEB"/>
    <w:rsid w:val="00C918FE"/>
    <w:rsid w:val="00C93637"/>
    <w:rsid w:val="00C963B8"/>
    <w:rsid w:val="00CA3248"/>
    <w:rsid w:val="00CA5040"/>
    <w:rsid w:val="00CB1181"/>
    <w:rsid w:val="00CB1C66"/>
    <w:rsid w:val="00CB2015"/>
    <w:rsid w:val="00CB32B3"/>
    <w:rsid w:val="00CB54DE"/>
    <w:rsid w:val="00CB5A52"/>
    <w:rsid w:val="00CB69D1"/>
    <w:rsid w:val="00CC1AF0"/>
    <w:rsid w:val="00CC781C"/>
    <w:rsid w:val="00CD2BE2"/>
    <w:rsid w:val="00CD2CC6"/>
    <w:rsid w:val="00CD3980"/>
    <w:rsid w:val="00CD50AB"/>
    <w:rsid w:val="00CD7321"/>
    <w:rsid w:val="00CE5B24"/>
    <w:rsid w:val="00D00D27"/>
    <w:rsid w:val="00D0511F"/>
    <w:rsid w:val="00D05C1B"/>
    <w:rsid w:val="00D06E5C"/>
    <w:rsid w:val="00D13B9F"/>
    <w:rsid w:val="00D142EC"/>
    <w:rsid w:val="00D155C6"/>
    <w:rsid w:val="00D161E2"/>
    <w:rsid w:val="00D207FB"/>
    <w:rsid w:val="00D21A33"/>
    <w:rsid w:val="00D21EFA"/>
    <w:rsid w:val="00D22C62"/>
    <w:rsid w:val="00D2303C"/>
    <w:rsid w:val="00D2389E"/>
    <w:rsid w:val="00D247B8"/>
    <w:rsid w:val="00D30062"/>
    <w:rsid w:val="00D311C1"/>
    <w:rsid w:val="00D3177B"/>
    <w:rsid w:val="00D32E68"/>
    <w:rsid w:val="00D3341E"/>
    <w:rsid w:val="00D359BB"/>
    <w:rsid w:val="00D36A21"/>
    <w:rsid w:val="00D41F54"/>
    <w:rsid w:val="00D45AB6"/>
    <w:rsid w:val="00D47184"/>
    <w:rsid w:val="00D5088D"/>
    <w:rsid w:val="00D5218A"/>
    <w:rsid w:val="00D52FBA"/>
    <w:rsid w:val="00D5316B"/>
    <w:rsid w:val="00D55B58"/>
    <w:rsid w:val="00D56605"/>
    <w:rsid w:val="00D629D9"/>
    <w:rsid w:val="00D65F32"/>
    <w:rsid w:val="00D712E4"/>
    <w:rsid w:val="00D73F55"/>
    <w:rsid w:val="00D74C3E"/>
    <w:rsid w:val="00D81698"/>
    <w:rsid w:val="00D825C1"/>
    <w:rsid w:val="00D854F1"/>
    <w:rsid w:val="00D85D09"/>
    <w:rsid w:val="00D87A45"/>
    <w:rsid w:val="00D91D48"/>
    <w:rsid w:val="00D93612"/>
    <w:rsid w:val="00D95049"/>
    <w:rsid w:val="00D9505B"/>
    <w:rsid w:val="00D9766D"/>
    <w:rsid w:val="00DA0047"/>
    <w:rsid w:val="00DA1D2C"/>
    <w:rsid w:val="00DA4C04"/>
    <w:rsid w:val="00DA6770"/>
    <w:rsid w:val="00DB001E"/>
    <w:rsid w:val="00DB08BB"/>
    <w:rsid w:val="00DB1B24"/>
    <w:rsid w:val="00DB1D9C"/>
    <w:rsid w:val="00DB247D"/>
    <w:rsid w:val="00DB3BE9"/>
    <w:rsid w:val="00DB6198"/>
    <w:rsid w:val="00DB75D1"/>
    <w:rsid w:val="00DB76F4"/>
    <w:rsid w:val="00DC2E59"/>
    <w:rsid w:val="00DC78CA"/>
    <w:rsid w:val="00DD06A7"/>
    <w:rsid w:val="00DD2914"/>
    <w:rsid w:val="00DD45EE"/>
    <w:rsid w:val="00DD4EBA"/>
    <w:rsid w:val="00DD5E15"/>
    <w:rsid w:val="00DD7DD1"/>
    <w:rsid w:val="00DE1990"/>
    <w:rsid w:val="00DE30EE"/>
    <w:rsid w:val="00DE3553"/>
    <w:rsid w:val="00DE5D55"/>
    <w:rsid w:val="00DE6B1D"/>
    <w:rsid w:val="00DE6FB6"/>
    <w:rsid w:val="00DE7426"/>
    <w:rsid w:val="00DF02FC"/>
    <w:rsid w:val="00DF0406"/>
    <w:rsid w:val="00DF2237"/>
    <w:rsid w:val="00DF2805"/>
    <w:rsid w:val="00DF5F09"/>
    <w:rsid w:val="00DF60E3"/>
    <w:rsid w:val="00DF75AE"/>
    <w:rsid w:val="00E0130E"/>
    <w:rsid w:val="00E025B5"/>
    <w:rsid w:val="00E033B2"/>
    <w:rsid w:val="00E03917"/>
    <w:rsid w:val="00E03BB3"/>
    <w:rsid w:val="00E04FAC"/>
    <w:rsid w:val="00E1512D"/>
    <w:rsid w:val="00E15DA5"/>
    <w:rsid w:val="00E20017"/>
    <w:rsid w:val="00E21EA4"/>
    <w:rsid w:val="00E2215C"/>
    <w:rsid w:val="00E2579A"/>
    <w:rsid w:val="00E270A1"/>
    <w:rsid w:val="00E310F3"/>
    <w:rsid w:val="00E31C21"/>
    <w:rsid w:val="00E32B53"/>
    <w:rsid w:val="00E3365C"/>
    <w:rsid w:val="00E34FDB"/>
    <w:rsid w:val="00E359CE"/>
    <w:rsid w:val="00E35F3A"/>
    <w:rsid w:val="00E36E2D"/>
    <w:rsid w:val="00E41C8E"/>
    <w:rsid w:val="00E42A1A"/>
    <w:rsid w:val="00E437AF"/>
    <w:rsid w:val="00E47DA2"/>
    <w:rsid w:val="00E5069F"/>
    <w:rsid w:val="00E512A8"/>
    <w:rsid w:val="00E5284B"/>
    <w:rsid w:val="00E52F77"/>
    <w:rsid w:val="00E5300B"/>
    <w:rsid w:val="00E53545"/>
    <w:rsid w:val="00E54200"/>
    <w:rsid w:val="00E543CA"/>
    <w:rsid w:val="00E54F80"/>
    <w:rsid w:val="00E63505"/>
    <w:rsid w:val="00E65984"/>
    <w:rsid w:val="00E678DE"/>
    <w:rsid w:val="00E70B99"/>
    <w:rsid w:val="00E70D58"/>
    <w:rsid w:val="00E733A3"/>
    <w:rsid w:val="00E75AA7"/>
    <w:rsid w:val="00E762C5"/>
    <w:rsid w:val="00E80CAA"/>
    <w:rsid w:val="00E85C08"/>
    <w:rsid w:val="00E86167"/>
    <w:rsid w:val="00E90BE0"/>
    <w:rsid w:val="00E929E1"/>
    <w:rsid w:val="00E93B2C"/>
    <w:rsid w:val="00E9479C"/>
    <w:rsid w:val="00E95882"/>
    <w:rsid w:val="00E970F5"/>
    <w:rsid w:val="00EA0BDC"/>
    <w:rsid w:val="00EA1FE7"/>
    <w:rsid w:val="00EA3564"/>
    <w:rsid w:val="00EA40D5"/>
    <w:rsid w:val="00EB2C61"/>
    <w:rsid w:val="00EB4F1B"/>
    <w:rsid w:val="00EB5191"/>
    <w:rsid w:val="00EC0BBC"/>
    <w:rsid w:val="00EC24CC"/>
    <w:rsid w:val="00EC3CB1"/>
    <w:rsid w:val="00ED097E"/>
    <w:rsid w:val="00ED13E5"/>
    <w:rsid w:val="00ED605C"/>
    <w:rsid w:val="00ED69B6"/>
    <w:rsid w:val="00ED7265"/>
    <w:rsid w:val="00ED7622"/>
    <w:rsid w:val="00EE29D1"/>
    <w:rsid w:val="00EE5FE2"/>
    <w:rsid w:val="00EF1DC5"/>
    <w:rsid w:val="00EF27B2"/>
    <w:rsid w:val="00F03A6E"/>
    <w:rsid w:val="00F12245"/>
    <w:rsid w:val="00F12D4A"/>
    <w:rsid w:val="00F12EE3"/>
    <w:rsid w:val="00F12FF8"/>
    <w:rsid w:val="00F1305D"/>
    <w:rsid w:val="00F13AA8"/>
    <w:rsid w:val="00F15722"/>
    <w:rsid w:val="00F160C8"/>
    <w:rsid w:val="00F203F3"/>
    <w:rsid w:val="00F21753"/>
    <w:rsid w:val="00F220DA"/>
    <w:rsid w:val="00F22ECF"/>
    <w:rsid w:val="00F23620"/>
    <w:rsid w:val="00F25591"/>
    <w:rsid w:val="00F26A2C"/>
    <w:rsid w:val="00F31EA7"/>
    <w:rsid w:val="00F3290E"/>
    <w:rsid w:val="00F34241"/>
    <w:rsid w:val="00F35F57"/>
    <w:rsid w:val="00F37D8F"/>
    <w:rsid w:val="00F42334"/>
    <w:rsid w:val="00F43C2A"/>
    <w:rsid w:val="00F44317"/>
    <w:rsid w:val="00F4438E"/>
    <w:rsid w:val="00F44CD3"/>
    <w:rsid w:val="00F45EDE"/>
    <w:rsid w:val="00F468E2"/>
    <w:rsid w:val="00F46EEB"/>
    <w:rsid w:val="00F475FD"/>
    <w:rsid w:val="00F51C91"/>
    <w:rsid w:val="00F61419"/>
    <w:rsid w:val="00F6275B"/>
    <w:rsid w:val="00F649CC"/>
    <w:rsid w:val="00F64ED4"/>
    <w:rsid w:val="00F65AFD"/>
    <w:rsid w:val="00F66741"/>
    <w:rsid w:val="00F66B2D"/>
    <w:rsid w:val="00F70D88"/>
    <w:rsid w:val="00F73D84"/>
    <w:rsid w:val="00F74220"/>
    <w:rsid w:val="00F75659"/>
    <w:rsid w:val="00F77830"/>
    <w:rsid w:val="00F80955"/>
    <w:rsid w:val="00F80B6F"/>
    <w:rsid w:val="00F84EE5"/>
    <w:rsid w:val="00F86F7D"/>
    <w:rsid w:val="00F87B42"/>
    <w:rsid w:val="00F87C5C"/>
    <w:rsid w:val="00F902CF"/>
    <w:rsid w:val="00F905DE"/>
    <w:rsid w:val="00F941A8"/>
    <w:rsid w:val="00F95809"/>
    <w:rsid w:val="00F96DDC"/>
    <w:rsid w:val="00F9773B"/>
    <w:rsid w:val="00FA2356"/>
    <w:rsid w:val="00FA38ED"/>
    <w:rsid w:val="00FA60D1"/>
    <w:rsid w:val="00FA66D6"/>
    <w:rsid w:val="00FB2B1E"/>
    <w:rsid w:val="00FB6B0F"/>
    <w:rsid w:val="00FB6C1C"/>
    <w:rsid w:val="00FC2AE1"/>
    <w:rsid w:val="00FC5DA4"/>
    <w:rsid w:val="00FC7816"/>
    <w:rsid w:val="00FD07FC"/>
    <w:rsid w:val="00FD1FF6"/>
    <w:rsid w:val="00FD37D5"/>
    <w:rsid w:val="00FD726B"/>
    <w:rsid w:val="00FE15E6"/>
    <w:rsid w:val="00FE2905"/>
    <w:rsid w:val="00FE428C"/>
    <w:rsid w:val="00FF39DF"/>
    <w:rsid w:val="00FF3FD2"/>
    <w:rsid w:val="00FF4137"/>
    <w:rsid w:val="00FF4542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207FB"/>
    <w:pPr>
      <w:jc w:val="both"/>
    </w:pPr>
    <w:rPr>
      <w:b/>
      <w:sz w:val="20"/>
      <w:szCs w:val="20"/>
    </w:rPr>
  </w:style>
  <w:style w:type="paragraph" w:styleId="a4">
    <w:name w:val="Document Map"/>
    <w:basedOn w:val="a"/>
    <w:link w:val="a5"/>
    <w:rsid w:val="008C14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8C1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2E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E32B53"/>
    <w:rPr>
      <w:b/>
    </w:rPr>
  </w:style>
  <w:style w:type="paragraph" w:styleId="a7">
    <w:name w:val="Balloon Text"/>
    <w:basedOn w:val="a"/>
    <w:link w:val="a8"/>
    <w:rsid w:val="00515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5614-AFAC-4AC0-A311-5A6F710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Nadutkina</dc:creator>
  <cp:lastModifiedBy>User</cp:lastModifiedBy>
  <cp:revision>256</cp:revision>
  <cp:lastPrinted>2018-11-13T09:44:00Z</cp:lastPrinted>
  <dcterms:created xsi:type="dcterms:W3CDTF">2017-11-01T09:12:00Z</dcterms:created>
  <dcterms:modified xsi:type="dcterms:W3CDTF">2018-11-14T12:40:00Z</dcterms:modified>
</cp:coreProperties>
</file>