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E546EE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1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CC2480">
        <w:rPr>
          <w:rFonts w:ascii="Times New Roman" w:hAnsi="Times New Roman" w:cs="Times New Roman"/>
          <w:iCs/>
          <w:sz w:val="24"/>
          <w:szCs w:val="24"/>
        </w:rPr>
        <w:t>1 квартал 2016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324">
        <w:rPr>
          <w:rFonts w:ascii="Times New Roman" w:hAnsi="Times New Roman" w:cs="Times New Roman"/>
          <w:iCs/>
          <w:sz w:val="24"/>
          <w:szCs w:val="24"/>
        </w:rPr>
        <w:t>237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я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324">
        <w:rPr>
          <w:rFonts w:ascii="Times New Roman" w:hAnsi="Times New Roman" w:cs="Times New Roman"/>
          <w:iCs/>
          <w:sz w:val="24"/>
          <w:szCs w:val="24"/>
        </w:rPr>
        <w:t>208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324">
        <w:rPr>
          <w:rFonts w:ascii="Times New Roman" w:hAnsi="Times New Roman" w:cs="Times New Roman"/>
          <w:iCs/>
          <w:sz w:val="24"/>
          <w:szCs w:val="24"/>
        </w:rPr>
        <w:t>29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0A6324">
        <w:rPr>
          <w:rFonts w:ascii="Times New Roman" w:hAnsi="Times New Roman" w:cs="Times New Roman"/>
          <w:iCs/>
          <w:sz w:val="24"/>
          <w:szCs w:val="24"/>
        </w:rPr>
        <w:t>16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143AF0">
        <w:rPr>
          <w:rFonts w:ascii="Times New Roman" w:hAnsi="Times New Roman" w:cs="Times New Roman"/>
          <w:iCs/>
          <w:sz w:val="24"/>
          <w:szCs w:val="24"/>
        </w:rPr>
        <w:t xml:space="preserve"> 145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5733D9">
        <w:rPr>
          <w:rFonts w:ascii="Times New Roman" w:hAnsi="Times New Roman" w:cs="Times New Roman"/>
          <w:iCs/>
          <w:sz w:val="24"/>
          <w:szCs w:val="24"/>
        </w:rPr>
        <w:t>92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F4842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4F72D9">
        <w:rPr>
          <w:rFonts w:ascii="Times New Roman" w:hAnsi="Times New Roman" w:cs="Times New Roman"/>
          <w:iCs/>
          <w:sz w:val="24"/>
          <w:szCs w:val="24"/>
        </w:rPr>
        <w:t>-</w:t>
      </w:r>
      <w:r w:rsidR="00143AF0" w:rsidRPr="00BF4842">
        <w:rPr>
          <w:rFonts w:ascii="Times New Roman" w:hAnsi="Times New Roman" w:cs="Times New Roman"/>
          <w:iCs/>
          <w:sz w:val="24"/>
          <w:szCs w:val="24"/>
        </w:rPr>
        <w:t xml:space="preserve"> 55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4319B0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дорожного хозяйства Р</w:t>
      </w:r>
      <w:r w:rsidR="004F72D9">
        <w:rPr>
          <w:rFonts w:ascii="Times New Roman" w:hAnsi="Times New Roman" w:cs="Times New Roman"/>
          <w:iCs/>
          <w:sz w:val="24"/>
          <w:szCs w:val="24"/>
        </w:rPr>
        <w:t xml:space="preserve">еспублики </w:t>
      </w:r>
      <w:r w:rsidRPr="00BF4842">
        <w:rPr>
          <w:rFonts w:ascii="Times New Roman" w:hAnsi="Times New Roman" w:cs="Times New Roman"/>
          <w:iCs/>
          <w:sz w:val="24"/>
          <w:szCs w:val="24"/>
        </w:rPr>
        <w:t>К</w:t>
      </w:r>
      <w:r w:rsidR="004F72D9">
        <w:rPr>
          <w:rFonts w:ascii="Times New Roman" w:hAnsi="Times New Roman" w:cs="Times New Roman"/>
          <w:iCs/>
          <w:sz w:val="24"/>
          <w:szCs w:val="24"/>
        </w:rPr>
        <w:t>оми -</w:t>
      </w:r>
      <w:r w:rsidRPr="00BF4842">
        <w:rPr>
          <w:rFonts w:ascii="Times New Roman" w:hAnsi="Times New Roman" w:cs="Times New Roman"/>
          <w:iCs/>
          <w:sz w:val="24"/>
          <w:szCs w:val="24"/>
        </w:rPr>
        <w:t xml:space="preserve"> 7;</w:t>
      </w:r>
    </w:p>
    <w:p w:rsidR="00BF4842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Администрация се</w:t>
      </w:r>
      <w:r w:rsidR="00143AF0" w:rsidRPr="00BF4842">
        <w:rPr>
          <w:rFonts w:ascii="Times New Roman" w:hAnsi="Times New Roman" w:cs="Times New Roman"/>
          <w:iCs/>
          <w:sz w:val="24"/>
          <w:szCs w:val="24"/>
        </w:rPr>
        <w:t>льского поселения «</w:t>
      </w:r>
      <w:proofErr w:type="spellStart"/>
      <w:r w:rsidR="00143AF0" w:rsidRPr="00BF4842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143AF0" w:rsidRPr="00BF4842">
        <w:rPr>
          <w:rFonts w:ascii="Times New Roman" w:hAnsi="Times New Roman" w:cs="Times New Roman"/>
          <w:iCs/>
          <w:sz w:val="24"/>
          <w:szCs w:val="24"/>
        </w:rPr>
        <w:t>» - 5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143AF0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Служба Республики Коми строительного, жилищного и те</w:t>
      </w:r>
      <w:r w:rsidR="004F72D9">
        <w:rPr>
          <w:rFonts w:ascii="Times New Roman" w:hAnsi="Times New Roman" w:cs="Times New Roman"/>
          <w:iCs/>
          <w:sz w:val="24"/>
          <w:szCs w:val="24"/>
        </w:rPr>
        <w:t xml:space="preserve">хнического надзора (контроля) - </w:t>
      </w:r>
      <w:bookmarkStart w:id="0" w:name="_GoBack"/>
      <w:bookmarkEnd w:id="0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4; </w:t>
      </w:r>
    </w:p>
    <w:p w:rsidR="00BF4842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</w:t>
      </w:r>
      <w:r w:rsidR="00143AF0" w:rsidRPr="00BF4842">
        <w:rPr>
          <w:rFonts w:ascii="Times New Roman" w:hAnsi="Times New Roman" w:cs="Times New Roman"/>
          <w:iCs/>
          <w:sz w:val="24"/>
          <w:szCs w:val="24"/>
        </w:rPr>
        <w:t>Зеленец» - 3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  <w:r w:rsidR="004319B0" w:rsidRPr="00BF484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71A5" w:rsidRPr="00BF4842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4319B0" w:rsidRPr="00BF4842">
        <w:rPr>
          <w:rFonts w:ascii="Times New Roman" w:hAnsi="Times New Roman" w:cs="Times New Roman"/>
          <w:iCs/>
          <w:sz w:val="24"/>
          <w:szCs w:val="24"/>
        </w:rPr>
        <w:t>18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21E09" w:rsidRDefault="004319B0" w:rsidP="001302C7">
      <w:pPr>
        <w:ind w:firstLine="1134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015546A8" wp14:editId="50323501">
            <wp:extent cx="5577840" cy="3985260"/>
            <wp:effectExtent l="0" t="0" r="2286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3A7635" w:rsidRDefault="003A7635" w:rsidP="005278CA">
      <w:pPr>
        <w:pStyle w:val="Default"/>
        <w:spacing w:line="276" w:lineRule="auto"/>
        <w:ind w:firstLine="708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 xml:space="preserve"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</w:t>
      </w:r>
      <w:r>
        <w:lastRenderedPageBreak/>
        <w:t>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Pr="00277239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  <w:r w:rsidR="00277239"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 xml:space="preserve">по вопросам транспортного обслуживания населения; </w:t>
      </w:r>
    </w:p>
    <w:p w:rsidR="007821D7" w:rsidRPr="00277239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строительству</w:t>
      </w:r>
      <w:r w:rsidR="00277239">
        <w:rPr>
          <w:rFonts w:ascii="Times New Roman" w:hAnsi="Times New Roman" w:cs="Times New Roman"/>
          <w:sz w:val="24"/>
          <w:szCs w:val="24"/>
        </w:rPr>
        <w:t>.</w:t>
      </w:r>
    </w:p>
    <w:p w:rsidR="003A7635" w:rsidRDefault="003A7635" w:rsidP="001F0D1B">
      <w:pPr>
        <w:pStyle w:val="Default"/>
        <w:spacing w:line="276" w:lineRule="auto"/>
        <w:contextualSpacing/>
        <w:jc w:val="both"/>
      </w:pPr>
    </w:p>
    <w:p w:rsidR="003A7635" w:rsidRDefault="003A7635" w:rsidP="003A7635">
      <w:pPr>
        <w:pStyle w:val="Default"/>
        <w:spacing w:line="276" w:lineRule="auto"/>
        <w:contextualSpacing/>
        <w:jc w:val="center"/>
      </w:pPr>
      <w:r>
        <w:t>Тематика обращений:</w:t>
      </w:r>
    </w:p>
    <w:p w:rsidR="007821D7" w:rsidRDefault="007821D7" w:rsidP="001F0D1B">
      <w:pPr>
        <w:pStyle w:val="Default"/>
        <w:spacing w:line="276" w:lineRule="auto"/>
        <w:contextualSpacing/>
        <w:jc w:val="both"/>
      </w:pPr>
    </w:p>
    <w:p w:rsidR="00AC4F54" w:rsidRDefault="000448D4" w:rsidP="00AA1BEE">
      <w:pPr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4B353403" wp14:editId="084EADF2">
            <wp:extent cx="6111240" cy="6027420"/>
            <wp:effectExtent l="0" t="0" r="228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F68" w:rsidRDefault="0081599B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302C7">
        <w:rPr>
          <w:rFonts w:ascii="Times New Roman" w:hAnsi="Times New Roman" w:cs="Times New Roman"/>
          <w:iCs/>
          <w:sz w:val="24"/>
          <w:szCs w:val="24"/>
        </w:rPr>
        <w:tab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944F68" w:rsidRDefault="00944F68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6FD9C1" wp14:editId="742E28EA">
            <wp:extent cx="6042660" cy="3440430"/>
            <wp:effectExtent l="0" t="0" r="1524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6495" w:rsidRDefault="00E6649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»:</w:t>
      </w:r>
    </w:p>
    <w:p w:rsidR="00E66495" w:rsidRDefault="00C87331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EDD21A" wp14:editId="17EFB95F">
            <wp:extent cx="4770120" cy="4876800"/>
            <wp:effectExtent l="0" t="0" r="1143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2C7" w:rsidRDefault="001302C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C87331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Пажга</w:t>
      </w:r>
      <w:proofErr w:type="spellEnd"/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87331" w:rsidRDefault="005C5080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D0C1E4" wp14:editId="0AD6613C">
            <wp:extent cx="4572000" cy="31432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5080" w:rsidRDefault="005C5080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5C5080" w:rsidRDefault="00A42059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6CCDC8" wp14:editId="302FD258">
            <wp:extent cx="4572000" cy="31432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Яснэг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A42059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26B979" wp14:editId="62F53966">
            <wp:extent cx="4572000" cy="253746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2059" w:rsidRDefault="008A5AE1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4F68">
        <w:rPr>
          <w:rFonts w:ascii="Times New Roman" w:hAnsi="Times New Roman" w:cs="Times New Roman"/>
          <w:iCs/>
          <w:sz w:val="24"/>
          <w:szCs w:val="24"/>
        </w:rPr>
        <w:tab/>
      </w:r>
      <w:r w:rsidR="00944F68">
        <w:rPr>
          <w:rFonts w:ascii="Times New Roman" w:hAnsi="Times New Roman" w:cs="Times New Roman"/>
          <w:iCs/>
          <w:sz w:val="24"/>
          <w:szCs w:val="24"/>
        </w:rPr>
        <w:tab/>
      </w:r>
      <w:r w:rsidR="00A42059"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 w:rsidR="00A42059">
        <w:rPr>
          <w:rFonts w:ascii="Times New Roman" w:hAnsi="Times New Roman" w:cs="Times New Roman"/>
          <w:iCs/>
          <w:sz w:val="24"/>
          <w:szCs w:val="24"/>
        </w:rPr>
        <w:t>Часово</w:t>
      </w:r>
      <w:r w:rsidR="00A42059"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A42059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61FDE5" wp14:editId="4302BDC5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2059" w:rsidRDefault="00A42059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Мандач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A42059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F6C94E" wp14:editId="0C207ACD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2059" w:rsidRDefault="00A42059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 w:rsidR="00E32892"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677BC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C634E52" wp14:editId="3C687741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2892" w:rsidRDefault="00E32892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жителей сельского поселения «Палевицы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E32892" w:rsidP="00E32892">
      <w:pPr>
        <w:ind w:left="1701"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9407F1" wp14:editId="71808AA4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2892" w:rsidRDefault="00E32892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E32892" w:rsidP="00E32892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EEB5BE" wp14:editId="3B9297AD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2892" w:rsidRDefault="00E32892" w:rsidP="00E3289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Нювчим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677BCC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66EF08D" wp14:editId="014AEC29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Лэзым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677BCC" w:rsidRDefault="00677BCC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552CD9" wp14:editId="35EE1344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Озёл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677BCC" w:rsidRDefault="00677BCC" w:rsidP="00677BCC">
      <w:pPr>
        <w:ind w:left="1560" w:right="-285" w:firstLine="14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1653D6" wp14:editId="0FDC7C04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Шошка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677BCC" w:rsidRDefault="00677BCC" w:rsidP="00677BCC">
      <w:pPr>
        <w:ind w:left="1560" w:right="-285" w:firstLine="14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4227C7" wp14:editId="6B29B84A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02C7" w:rsidRDefault="001302C7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0448D4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Всего дано 292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2 авторам отказано; </w:t>
      </w:r>
      <w:r>
        <w:rPr>
          <w:rFonts w:ascii="Times New Roman" w:hAnsi="Times New Roman" w:cs="Times New Roman"/>
          <w:color w:val="000000"/>
          <w:sz w:val="24"/>
          <w:szCs w:val="24"/>
        </w:rPr>
        <w:t>171</w:t>
      </w:r>
      <w:r w:rsidR="00510E27">
        <w:rPr>
          <w:rFonts w:ascii="Times New Roman" w:hAnsi="Times New Roman" w:cs="Times New Roman"/>
          <w:color w:val="000000"/>
          <w:sz w:val="24"/>
          <w:szCs w:val="24"/>
        </w:rPr>
        <w:t xml:space="preserve"> автору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 xml:space="preserve"> находя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Баранову К.М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8E27FF">
        <w:rPr>
          <w:rFonts w:ascii="Times New Roman" w:hAnsi="Times New Roman" w:cs="Times New Roman"/>
          <w:color w:val="000000"/>
          <w:sz w:val="24"/>
          <w:szCs w:val="24"/>
        </w:rPr>
        <w:t xml:space="preserve"> принято 25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Барановым К.М.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7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приняты </w:t>
      </w:r>
      <w:r w:rsidR="008E27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414C38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8E27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27FF" w:rsidRPr="008E27FF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8E2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7FF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8E27FF">
        <w:rPr>
          <w:rFonts w:ascii="Times New Roman" w:hAnsi="Times New Roman" w:cs="Times New Roman"/>
          <w:color w:val="000000"/>
          <w:sz w:val="24"/>
          <w:szCs w:val="24"/>
        </w:rPr>
        <w:t xml:space="preserve"> А.И. принят 1 гражданин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6468" w:rsidRDefault="00E86468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39" w:rsidRPr="00A53E11" w:rsidRDefault="004B0E2B" w:rsidP="004B0E2B">
      <w:pPr>
        <w:ind w:firstLine="14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57C811" wp14:editId="64A98239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A63A41"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3"/>
    <w:rsid w:val="00006DFD"/>
    <w:rsid w:val="00021E09"/>
    <w:rsid w:val="00022085"/>
    <w:rsid w:val="00026EA0"/>
    <w:rsid w:val="000448D4"/>
    <w:rsid w:val="00046C83"/>
    <w:rsid w:val="00056459"/>
    <w:rsid w:val="000738A3"/>
    <w:rsid w:val="00090FBA"/>
    <w:rsid w:val="000A6324"/>
    <w:rsid w:val="000B37A3"/>
    <w:rsid w:val="000B4A1C"/>
    <w:rsid w:val="000E7F71"/>
    <w:rsid w:val="00110281"/>
    <w:rsid w:val="001117A0"/>
    <w:rsid w:val="001133A3"/>
    <w:rsid w:val="00123D76"/>
    <w:rsid w:val="00127034"/>
    <w:rsid w:val="001302C7"/>
    <w:rsid w:val="00131AEF"/>
    <w:rsid w:val="00134318"/>
    <w:rsid w:val="00135DE9"/>
    <w:rsid w:val="00140973"/>
    <w:rsid w:val="00143AF0"/>
    <w:rsid w:val="00154CAB"/>
    <w:rsid w:val="001558E3"/>
    <w:rsid w:val="001825A9"/>
    <w:rsid w:val="00192512"/>
    <w:rsid w:val="001B3DE5"/>
    <w:rsid w:val="001B706E"/>
    <w:rsid w:val="001D7F40"/>
    <w:rsid w:val="001F0D1B"/>
    <w:rsid w:val="00203A29"/>
    <w:rsid w:val="002110A2"/>
    <w:rsid w:val="002132A1"/>
    <w:rsid w:val="00236C33"/>
    <w:rsid w:val="002466E1"/>
    <w:rsid w:val="002533B6"/>
    <w:rsid w:val="0026133E"/>
    <w:rsid w:val="0026795B"/>
    <w:rsid w:val="00277239"/>
    <w:rsid w:val="0029326F"/>
    <w:rsid w:val="002A2174"/>
    <w:rsid w:val="002A74EF"/>
    <w:rsid w:val="002C1979"/>
    <w:rsid w:val="002F3D07"/>
    <w:rsid w:val="00303BCE"/>
    <w:rsid w:val="003238B9"/>
    <w:rsid w:val="00323D98"/>
    <w:rsid w:val="003528EB"/>
    <w:rsid w:val="00355C82"/>
    <w:rsid w:val="00370EBE"/>
    <w:rsid w:val="00380CC2"/>
    <w:rsid w:val="003A7635"/>
    <w:rsid w:val="003B09B3"/>
    <w:rsid w:val="003C5C7D"/>
    <w:rsid w:val="00414C38"/>
    <w:rsid w:val="00427089"/>
    <w:rsid w:val="004319B0"/>
    <w:rsid w:val="00444A50"/>
    <w:rsid w:val="00447A98"/>
    <w:rsid w:val="0045099D"/>
    <w:rsid w:val="00470344"/>
    <w:rsid w:val="00470D99"/>
    <w:rsid w:val="00471EA8"/>
    <w:rsid w:val="00485442"/>
    <w:rsid w:val="004875E4"/>
    <w:rsid w:val="004B0E2B"/>
    <w:rsid w:val="004B1074"/>
    <w:rsid w:val="004C10C3"/>
    <w:rsid w:val="004E4B81"/>
    <w:rsid w:val="004F6CFF"/>
    <w:rsid w:val="004F72D9"/>
    <w:rsid w:val="004F7851"/>
    <w:rsid w:val="00510E27"/>
    <w:rsid w:val="00516FF0"/>
    <w:rsid w:val="005278CA"/>
    <w:rsid w:val="00540553"/>
    <w:rsid w:val="00545865"/>
    <w:rsid w:val="00572D72"/>
    <w:rsid w:val="005733D9"/>
    <w:rsid w:val="00587B09"/>
    <w:rsid w:val="005A3566"/>
    <w:rsid w:val="005A3A39"/>
    <w:rsid w:val="005B24DF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612823"/>
    <w:rsid w:val="006444EE"/>
    <w:rsid w:val="006523A7"/>
    <w:rsid w:val="0065442D"/>
    <w:rsid w:val="006556E5"/>
    <w:rsid w:val="006774FF"/>
    <w:rsid w:val="00677BCC"/>
    <w:rsid w:val="00683680"/>
    <w:rsid w:val="00684C53"/>
    <w:rsid w:val="00687879"/>
    <w:rsid w:val="006A2076"/>
    <w:rsid w:val="006C1408"/>
    <w:rsid w:val="006D1CFD"/>
    <w:rsid w:val="006D40F8"/>
    <w:rsid w:val="006E4305"/>
    <w:rsid w:val="006E4AC4"/>
    <w:rsid w:val="006F34D3"/>
    <w:rsid w:val="006F57D4"/>
    <w:rsid w:val="007053FF"/>
    <w:rsid w:val="00716CD2"/>
    <w:rsid w:val="007371E1"/>
    <w:rsid w:val="00745338"/>
    <w:rsid w:val="0074630B"/>
    <w:rsid w:val="00772103"/>
    <w:rsid w:val="007739D0"/>
    <w:rsid w:val="00781718"/>
    <w:rsid w:val="007821D7"/>
    <w:rsid w:val="007A05C0"/>
    <w:rsid w:val="007A2679"/>
    <w:rsid w:val="007B1D49"/>
    <w:rsid w:val="007C4585"/>
    <w:rsid w:val="007C5688"/>
    <w:rsid w:val="008060FB"/>
    <w:rsid w:val="0081408A"/>
    <w:rsid w:val="0081599B"/>
    <w:rsid w:val="0084473F"/>
    <w:rsid w:val="00847378"/>
    <w:rsid w:val="00854931"/>
    <w:rsid w:val="008626EA"/>
    <w:rsid w:val="00863D24"/>
    <w:rsid w:val="00870105"/>
    <w:rsid w:val="00886EC4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F2187"/>
    <w:rsid w:val="00902FFF"/>
    <w:rsid w:val="00905955"/>
    <w:rsid w:val="00915ECE"/>
    <w:rsid w:val="00944F68"/>
    <w:rsid w:val="0097109F"/>
    <w:rsid w:val="009A08E1"/>
    <w:rsid w:val="009A4D7B"/>
    <w:rsid w:val="009B409C"/>
    <w:rsid w:val="009D0F40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73D8"/>
    <w:rsid w:val="00A53E11"/>
    <w:rsid w:val="00A63A41"/>
    <w:rsid w:val="00A7609D"/>
    <w:rsid w:val="00A8013A"/>
    <w:rsid w:val="00A823D5"/>
    <w:rsid w:val="00A936B0"/>
    <w:rsid w:val="00AA1BEE"/>
    <w:rsid w:val="00AA3D9C"/>
    <w:rsid w:val="00AB1AD1"/>
    <w:rsid w:val="00AB4B56"/>
    <w:rsid w:val="00AB74D5"/>
    <w:rsid w:val="00AC4F54"/>
    <w:rsid w:val="00AE6FDF"/>
    <w:rsid w:val="00B06A39"/>
    <w:rsid w:val="00B07456"/>
    <w:rsid w:val="00B1428A"/>
    <w:rsid w:val="00B37312"/>
    <w:rsid w:val="00B63EBB"/>
    <w:rsid w:val="00B77D09"/>
    <w:rsid w:val="00B8392A"/>
    <w:rsid w:val="00B92E80"/>
    <w:rsid w:val="00BB37FE"/>
    <w:rsid w:val="00BB398D"/>
    <w:rsid w:val="00BB7F2A"/>
    <w:rsid w:val="00BD4C92"/>
    <w:rsid w:val="00BE0A21"/>
    <w:rsid w:val="00BE4FEB"/>
    <w:rsid w:val="00BF4842"/>
    <w:rsid w:val="00C009F8"/>
    <w:rsid w:val="00C140FA"/>
    <w:rsid w:val="00C14156"/>
    <w:rsid w:val="00C14B9C"/>
    <w:rsid w:val="00C22272"/>
    <w:rsid w:val="00C33BF2"/>
    <w:rsid w:val="00C52631"/>
    <w:rsid w:val="00C56F79"/>
    <w:rsid w:val="00C60F25"/>
    <w:rsid w:val="00C6101A"/>
    <w:rsid w:val="00C63744"/>
    <w:rsid w:val="00C64470"/>
    <w:rsid w:val="00C76260"/>
    <w:rsid w:val="00C87331"/>
    <w:rsid w:val="00C93CF9"/>
    <w:rsid w:val="00CB6670"/>
    <w:rsid w:val="00CC2480"/>
    <w:rsid w:val="00CD4F39"/>
    <w:rsid w:val="00CE0B04"/>
    <w:rsid w:val="00CE443B"/>
    <w:rsid w:val="00D02988"/>
    <w:rsid w:val="00D05F2F"/>
    <w:rsid w:val="00D065DA"/>
    <w:rsid w:val="00D2293F"/>
    <w:rsid w:val="00D61806"/>
    <w:rsid w:val="00D75302"/>
    <w:rsid w:val="00D85642"/>
    <w:rsid w:val="00DA01B3"/>
    <w:rsid w:val="00DB2E9A"/>
    <w:rsid w:val="00DB71A5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32892"/>
    <w:rsid w:val="00E43E2A"/>
    <w:rsid w:val="00E45C30"/>
    <w:rsid w:val="00E50FC1"/>
    <w:rsid w:val="00E546EE"/>
    <w:rsid w:val="00E60B17"/>
    <w:rsid w:val="00E66495"/>
    <w:rsid w:val="00E66A54"/>
    <w:rsid w:val="00E86468"/>
    <w:rsid w:val="00EA5B36"/>
    <w:rsid w:val="00EC788C"/>
    <w:rsid w:val="00ED73E7"/>
    <w:rsid w:val="00EE402E"/>
    <w:rsid w:val="00F00987"/>
    <w:rsid w:val="00F067BE"/>
    <w:rsid w:val="00F12352"/>
    <w:rsid w:val="00F53584"/>
    <w:rsid w:val="00F75913"/>
    <w:rsid w:val="00F846A2"/>
    <w:rsid w:val="00F851D4"/>
    <w:rsid w:val="00FE3F7B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srv2\&#1086;&#1073;&#1084;&#1077;&#1085;&#1085;&#1080;&#1082;\&#1054;&#1090;&#1076;&#1077;&#1083;%20&#1086;&#1073;&#1097;&#1077;&#1075;&#1086;%20&#1086;&#1073;&#1077;&#1089;&#1087;&#1077;&#1095;&#1077;&#1085;&#1080;&#1103;\&#1063;&#1091;&#1073;%20&#1040;&#1085;&#1085;&#1072;%20&#1057;&#1077;&#1088;&#1075;&#1077;&#1077;&#1074;&#1085;&#1072;\&#1045;&#1078;&#1077;&#1082;&#1074;&#1072;&#1088;&#1090;&#1072;&#1083;&#1100;&#1085;&#1099;&#1081;%20&#1086;&#1090;&#1095;&#1105;&#1090;%20&#1079;&#1072;%202016&#1075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srv2\&#1086;&#1073;&#1084;&#1077;&#1085;&#1085;&#1080;&#1082;\&#1054;&#1090;&#1076;&#1077;&#1083;%20&#1086;&#1073;&#1097;&#1077;&#1075;&#1086;%20&#1086;&#1073;&#1077;&#1089;&#1087;&#1077;&#1095;&#1077;&#1085;&#1080;&#1103;\&#1063;&#1091;&#1073;%20&#1040;&#1085;&#1085;&#1072;%20&#1057;&#1077;&#1088;&#1075;&#1077;&#1077;&#1074;&#1085;&#1072;\&#1045;&#1078;&#1077;&#1082;&#1074;&#1072;&#1088;&#1090;&#1072;&#1083;&#1100;&#1085;&#1099;&#1081;%20&#1086;&#1090;&#1095;&#1105;&#1090;%20&#1079;&#1072;%202016&#1075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srv2\&#1086;&#1073;&#1084;&#1077;&#1085;&#1085;&#1080;&#1082;\&#1054;&#1090;&#1076;&#1077;&#1083;%20&#1086;&#1073;&#1097;&#1077;&#1075;&#1086;%20&#1086;&#1073;&#1077;&#1089;&#1087;&#1077;&#1095;&#1077;&#1085;&#1080;&#1103;\&#1063;&#1091;&#1073;%20&#1040;&#1085;&#1085;&#1072;%20&#1057;&#1077;&#1088;&#1075;&#1077;&#1077;&#1074;&#1085;&#1072;\&#1045;&#1078;&#1077;&#1082;&#1074;&#1072;&#1088;&#1090;&#1072;&#1083;&#1100;&#1085;&#1099;&#1081;%20&#1086;&#1090;&#1095;&#1105;&#1090;%20&#1079;&#1072;%202016&#1075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Лист1!$A$40:$A$46</c:f>
              <c:strCache>
                <c:ptCount val="7"/>
                <c:pt idx="0">
                  <c:v>От автора</c:v>
                </c:pt>
                <c:pt idx="1">
                  <c:v>АГРК и ПРК</c:v>
                </c:pt>
                <c:pt idx="2">
                  <c:v>Минстрой РК</c:v>
                </c:pt>
                <c:pt idx="3">
                  <c:v>Администрация сп "Выльгорт"</c:v>
                </c:pt>
                <c:pt idx="4">
                  <c:v>Служба стройжилтехнадзора РК</c:v>
                </c:pt>
                <c:pt idx="5">
                  <c:v>Администрация сп "Зеленец"</c:v>
                </c:pt>
                <c:pt idx="6">
                  <c:v>Прочие</c:v>
                </c:pt>
              </c:strCache>
            </c:strRef>
          </c:cat>
          <c:val>
            <c:numRef>
              <c:f>Лист1!$B$40:$B$46</c:f>
              <c:numCache>
                <c:formatCode>General</c:formatCode>
                <c:ptCount val="7"/>
                <c:pt idx="0">
                  <c:v>145</c:v>
                </c:pt>
                <c:pt idx="1">
                  <c:v>55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652288"/>
        <c:axId val="48653824"/>
      </c:barChart>
      <c:catAx>
        <c:axId val="4865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48653824"/>
        <c:crosses val="autoZero"/>
        <c:auto val="1"/>
        <c:lblAlgn val="ctr"/>
        <c:lblOffset val="100"/>
        <c:noMultiLvlLbl val="0"/>
      </c:catAx>
      <c:valAx>
        <c:axId val="486538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865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Лист1!$A$185:$A$188</c:f>
              <c:strCache>
                <c:ptCount val="4"/>
                <c:pt idx="0">
                  <c:v>вопросы землепользования</c:v>
                </c:pt>
                <c:pt idx="1">
                  <c:v>оказание материальной помощи</c:v>
                </c:pt>
                <c:pt idx="2">
                  <c:v>образование</c:v>
                </c:pt>
                <c:pt idx="3">
                  <c:v>транспорт</c:v>
                </c:pt>
              </c:strCache>
            </c:strRef>
          </c:cat>
          <c:val>
            <c:numRef>
              <c:f>Лист1!$B$185:$B$188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Лист1!$A$185:$A$186</c:f>
              <c:strCache>
                <c:ptCount val="2"/>
                <c:pt idx="0">
                  <c:v>коммунальные вопросы</c:v>
                </c:pt>
                <c:pt idx="1">
                  <c:v>жилищные вопросы</c:v>
                </c:pt>
              </c:strCache>
            </c:strRef>
          </c:cat>
          <c:val>
            <c:numRef>
              <c:f>Лист1!$B$185:$B$186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Лист1!$A$189:$A$192</c:f>
              <c:strCache>
                <c:ptCount val="4"/>
                <c:pt idx="0">
                  <c:v>коммунальные вопросы</c:v>
                </c:pt>
                <c:pt idx="1">
                  <c:v>вопросы благоустройства</c:v>
                </c:pt>
                <c:pt idx="2">
                  <c:v>жилищные вопросы</c:v>
                </c:pt>
                <c:pt idx="3">
                  <c:v>дорожное хозяйство</c:v>
                </c:pt>
              </c:strCache>
            </c:strRef>
          </c:cat>
          <c:val>
            <c:numRef>
              <c:f>Лист1!$B$189:$B$192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="0" i="0">
                <a:latin typeface="Times New Roman" pitchFamily="18" charset="0"/>
                <a:cs typeface="Times New Roman" pitchFamily="18" charset="0"/>
              </a:rPr>
              <a:t>жилищные</a:t>
            </a:r>
            <a:r>
              <a:rPr lang="ru-RU" b="0">
                <a:latin typeface="Times New Roman" pitchFamily="18" charset="0"/>
                <a:cs typeface="Times New Roman" pitchFamily="18" charset="0"/>
              </a:rPr>
              <a:t> вопросы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Лист1!$A$196</c:f>
              <c:strCache>
                <c:ptCount val="1"/>
                <c:pt idx="0">
                  <c:v>жилищные вопросы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Лист1!$B$196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Лист1!$A$200:$A$201</c:f>
              <c:strCache>
                <c:ptCount val="2"/>
                <c:pt idx="0">
                  <c:v>вопросы землепользования</c:v>
                </c:pt>
                <c:pt idx="1">
                  <c:v>оказание материальной помощи</c:v>
                </c:pt>
              </c:strCache>
            </c:strRef>
          </c:cat>
          <c:val>
            <c:numRef>
              <c:f>Лист1!$B$200:$B$201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Лист1!$A$204:$A$205</c:f>
              <c:strCache>
                <c:ptCount val="2"/>
                <c:pt idx="0">
                  <c:v>коммунальные вопросы</c:v>
                </c:pt>
                <c:pt idx="1">
                  <c:v>транспорт</c:v>
                </c:pt>
              </c:strCache>
            </c:strRef>
          </c:cat>
          <c:val>
            <c:numRef>
              <c:f>Лист1!$B$204:$B$205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вопросы землепользования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Лист1!$A$208</c:f>
              <c:strCache>
                <c:ptCount val="1"/>
                <c:pt idx="0">
                  <c:v>вопросы землепользования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Лист1!$B$208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Лист1!$A$22:$A$25</c:f>
              <c:strCache>
                <c:ptCount val="4"/>
                <c:pt idx="0">
                  <c:v>Лажанев О.А.</c:v>
                </c:pt>
                <c:pt idx="1">
                  <c:v>Баранов К.М. </c:v>
                </c:pt>
                <c:pt idx="2">
                  <c:v>Долингер Н.В.</c:v>
                </c:pt>
                <c:pt idx="3">
                  <c:v>Федюнева А.И.</c:v>
                </c:pt>
              </c:strCache>
            </c:strRef>
          </c:cat>
          <c:val>
            <c:numRef>
              <c:f>Лист1!$B$22:$B$25</c:f>
              <c:numCache>
                <c:formatCode>General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Лист1!$A$1:$A$13</c:f>
              <c:strCache>
                <c:ptCount val="13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Оказание материальной помощи</c:v>
                </c:pt>
                <c:pt idx="4">
                  <c:v>Вопросы газификации</c:v>
                </c:pt>
                <c:pt idx="5">
                  <c:v>Вопросы благоустройства сельских территорий</c:v>
                </c:pt>
                <c:pt idx="6">
                  <c:v>Дорожное хозяйство</c:v>
                </c:pt>
                <c:pt idx="7">
                  <c:v>Транспорт</c:v>
                </c:pt>
                <c:pt idx="8">
                  <c:v>Вопросы физькультуры и спорта</c:v>
                </c:pt>
                <c:pt idx="9">
                  <c:v>Вопросы строительства</c:v>
                </c:pt>
                <c:pt idx="10">
                  <c:v>Вопросы труда и заработной платы</c:v>
                </c:pt>
                <c:pt idx="11">
                  <c:v>Вопросы образования</c:v>
                </c:pt>
                <c:pt idx="12">
                  <c:v>Прочие</c:v>
                </c:pt>
              </c:strCache>
            </c:strRef>
          </c:cat>
          <c:val>
            <c:numRef>
              <c:f>Лист1!$B$1:$B$13</c:f>
              <c:numCache>
                <c:formatCode>General</c:formatCode>
                <c:ptCount val="13"/>
                <c:pt idx="0">
                  <c:v>80</c:v>
                </c:pt>
                <c:pt idx="1">
                  <c:v>40</c:v>
                </c:pt>
                <c:pt idx="2">
                  <c:v>29</c:v>
                </c:pt>
                <c:pt idx="3">
                  <c:v>17</c:v>
                </c:pt>
                <c:pt idx="4">
                  <c:v>13</c:v>
                </c:pt>
                <c:pt idx="5">
                  <c:v>10</c:v>
                </c:pt>
                <c:pt idx="6">
                  <c:v>9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Лист1!$A$92:$A$106</c:f>
              <c:strCache>
                <c:ptCount val="15"/>
                <c:pt idx="1">
                  <c:v>Выльгорт</c:v>
                </c:pt>
                <c:pt idx="2">
                  <c:v>Пажга</c:v>
                </c:pt>
                <c:pt idx="3">
                  <c:v>Зеленец</c:v>
                </c:pt>
                <c:pt idx="4">
                  <c:v>Яснэг</c:v>
                </c:pt>
                <c:pt idx="5">
                  <c:v>Часово</c:v>
                </c:pt>
                <c:pt idx="6">
                  <c:v>Мандач</c:v>
                </c:pt>
                <c:pt idx="7">
                  <c:v>Ыб</c:v>
                </c:pt>
                <c:pt idx="8">
                  <c:v>Палевицы</c:v>
                </c:pt>
                <c:pt idx="9">
                  <c:v>Слудка</c:v>
                </c:pt>
                <c:pt idx="10">
                  <c:v>Нювчим</c:v>
                </c:pt>
                <c:pt idx="11">
                  <c:v>Лэзым</c:v>
                </c:pt>
                <c:pt idx="12">
                  <c:v>Озёл</c:v>
                </c:pt>
                <c:pt idx="13">
                  <c:v>Шошка</c:v>
                </c:pt>
                <c:pt idx="14">
                  <c:v>Прочие</c:v>
                </c:pt>
              </c:strCache>
            </c:strRef>
          </c:cat>
          <c:val>
            <c:numRef>
              <c:f>Лист1!$B$92:$B$106</c:f>
              <c:numCache>
                <c:formatCode>General</c:formatCode>
                <c:ptCount val="15"/>
                <c:pt idx="1">
                  <c:v>93</c:v>
                </c:pt>
                <c:pt idx="2">
                  <c:v>23</c:v>
                </c:pt>
                <c:pt idx="3">
                  <c:v>20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05920"/>
        <c:axId val="83907712"/>
      </c:barChart>
      <c:catAx>
        <c:axId val="8390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07712"/>
        <c:crosses val="autoZero"/>
        <c:auto val="1"/>
        <c:lblAlgn val="ctr"/>
        <c:lblOffset val="100"/>
        <c:noMultiLvlLbl val="0"/>
      </c:catAx>
      <c:valAx>
        <c:axId val="839077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90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Лист1!$A$138:$A$148</c:f>
              <c:strCache>
                <c:ptCount val="11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оказание материальной помощи</c:v>
                </c:pt>
                <c:pt idx="4">
                  <c:v>вопросы газификации</c:v>
                </c:pt>
                <c:pt idx="5">
                  <c:v>вопросы благоустройства</c:v>
                </c:pt>
                <c:pt idx="6">
                  <c:v>дорожное хозяйство</c:v>
                </c:pt>
                <c:pt idx="7">
                  <c:v>вопросы строительства</c:v>
                </c:pt>
                <c:pt idx="8">
                  <c:v>образование</c:v>
                </c:pt>
                <c:pt idx="9">
                  <c:v>транспорт</c:v>
                </c:pt>
                <c:pt idx="10">
                  <c:v>прочие</c:v>
                </c:pt>
              </c:strCache>
            </c:strRef>
          </c:cat>
          <c:val>
            <c:numRef>
              <c:f>Лист1!$B$138:$B$148</c:f>
              <c:numCache>
                <c:formatCode>General</c:formatCode>
                <c:ptCount val="11"/>
                <c:pt idx="0">
                  <c:v>31</c:v>
                </c:pt>
                <c:pt idx="1">
                  <c:v>15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Лист1!$A$152:$A$158</c:f>
              <c:strCache>
                <c:ptCount val="7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оказание материальной помощи</c:v>
                </c:pt>
                <c:pt idx="3">
                  <c:v>вопросы землепользования</c:v>
                </c:pt>
                <c:pt idx="4">
                  <c:v>транспорт</c:v>
                </c:pt>
                <c:pt idx="5">
                  <c:v>поддержка предпринимателей</c:v>
                </c:pt>
                <c:pt idx="6">
                  <c:v>прочие</c:v>
                </c:pt>
              </c:strCache>
            </c:strRef>
          </c:cat>
          <c:val>
            <c:numRef>
              <c:f>Лист1!$B$152:$B$158</c:f>
              <c:numCache>
                <c:formatCode>General</c:formatCode>
                <c:ptCount val="7"/>
                <c:pt idx="0">
                  <c:v>11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Лист1!$A$162:$A$167</c:f>
              <c:strCache>
                <c:ptCount val="6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отлов безнадзорных животных </c:v>
                </c:pt>
                <c:pt idx="3">
                  <c:v>вопросы благоустройства</c:v>
                </c:pt>
                <c:pt idx="4">
                  <c:v>вопросы газификации</c:v>
                </c:pt>
                <c:pt idx="5">
                  <c:v>оказание материальной помощи</c:v>
                </c:pt>
              </c:strCache>
            </c:strRef>
          </c:cat>
          <c:val>
            <c:numRef>
              <c:f>Лист1!$B$162:$B$167</c:f>
              <c:numCache>
                <c:formatCode>General</c:formatCode>
                <c:ptCount val="6"/>
                <c:pt idx="0">
                  <c:v>9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Лист1!$A$170:$A$173</c:f>
              <c:strCache>
                <c:ptCount val="4"/>
                <c:pt idx="0">
                  <c:v>жилищные вопросы</c:v>
                </c:pt>
                <c:pt idx="1">
                  <c:v>оказание материальной помощи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</c:strCache>
            </c:strRef>
          </c:cat>
          <c:val>
            <c:numRef>
              <c:f>Лист1!$B$170:$B$173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Лист1!$A$175:$A$178</c:f>
              <c:strCache>
                <c:ptCount val="4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вопросы землепользования</c:v>
                </c:pt>
                <c:pt idx="3">
                  <c:v>прочие</c:v>
                </c:pt>
              </c:strCache>
            </c:strRef>
          </c:cat>
          <c:val>
            <c:numRef>
              <c:f>Лист1!$B$175:$B$178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Лист1!$A$181:$A$182</c:f>
              <c:strCache>
                <c:ptCount val="2"/>
                <c:pt idx="0">
                  <c:v>жилищные вопросы</c:v>
                </c:pt>
                <c:pt idx="1">
                  <c:v>дорожное хозяйство</c:v>
                </c:pt>
              </c:strCache>
            </c:strRef>
          </c:cat>
          <c:val>
            <c:numRef>
              <c:f>Лист1!$B$181:$B$182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0A49-A5E7-42E1-818B-64F6F34E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8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88</cp:revision>
  <cp:lastPrinted>2016-04-11T13:08:00Z</cp:lastPrinted>
  <dcterms:created xsi:type="dcterms:W3CDTF">2013-04-07T07:19:00Z</dcterms:created>
  <dcterms:modified xsi:type="dcterms:W3CDTF">2016-04-19T09:46:00Z</dcterms:modified>
</cp:coreProperties>
</file>