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</w:p>
    <w:p w:rsidR="00687879" w:rsidRDefault="00B038B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224255">
        <w:rPr>
          <w:rFonts w:ascii="Times New Roman" w:hAnsi="Times New Roman" w:cs="Times New Roman"/>
          <w:iCs/>
          <w:sz w:val="24"/>
          <w:szCs w:val="24"/>
        </w:rPr>
        <w:t>3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224255">
        <w:rPr>
          <w:rFonts w:ascii="Times New Roman" w:hAnsi="Times New Roman" w:cs="Times New Roman"/>
          <w:iCs/>
          <w:sz w:val="24"/>
          <w:szCs w:val="24"/>
        </w:rPr>
        <w:t>3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 квартал 2017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224255">
        <w:rPr>
          <w:rFonts w:ascii="Times New Roman" w:hAnsi="Times New Roman" w:cs="Times New Roman"/>
          <w:iCs/>
          <w:sz w:val="24"/>
          <w:szCs w:val="24"/>
        </w:rPr>
        <w:t>260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1723">
        <w:rPr>
          <w:rFonts w:ascii="Times New Roman" w:hAnsi="Times New Roman" w:cs="Times New Roman"/>
          <w:iCs/>
          <w:sz w:val="24"/>
          <w:szCs w:val="24"/>
        </w:rPr>
        <w:t>188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4255">
        <w:rPr>
          <w:rFonts w:ascii="Times New Roman" w:hAnsi="Times New Roman" w:cs="Times New Roman"/>
          <w:iCs/>
          <w:sz w:val="24"/>
          <w:szCs w:val="24"/>
        </w:rPr>
        <w:t>72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3109E5">
        <w:rPr>
          <w:rFonts w:ascii="Times New Roman" w:hAnsi="Times New Roman" w:cs="Times New Roman"/>
          <w:iCs/>
          <w:sz w:val="24"/>
          <w:szCs w:val="24"/>
        </w:rPr>
        <w:t>8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1723">
        <w:rPr>
          <w:rFonts w:ascii="Times New Roman" w:hAnsi="Times New Roman" w:cs="Times New Roman"/>
          <w:iCs/>
          <w:sz w:val="24"/>
          <w:szCs w:val="24"/>
        </w:rPr>
        <w:t>127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 w:rsidR="009B7E1C">
        <w:rPr>
          <w:rFonts w:ascii="Times New Roman" w:hAnsi="Times New Roman" w:cs="Times New Roman"/>
          <w:iCs/>
          <w:sz w:val="24"/>
          <w:szCs w:val="24"/>
        </w:rPr>
        <w:t>анизации поступило 1</w:t>
      </w:r>
      <w:r w:rsidR="000A1723">
        <w:rPr>
          <w:rFonts w:ascii="Times New Roman" w:hAnsi="Times New Roman" w:cs="Times New Roman"/>
          <w:iCs/>
          <w:sz w:val="24"/>
          <w:szCs w:val="24"/>
        </w:rPr>
        <w:t>33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0A1723">
        <w:rPr>
          <w:rFonts w:ascii="Times New Roman" w:hAnsi="Times New Roman" w:cs="Times New Roman"/>
          <w:iCs/>
          <w:sz w:val="24"/>
          <w:szCs w:val="24"/>
        </w:rPr>
        <w:t>25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0A1723">
        <w:rPr>
          <w:rFonts w:ascii="Times New Roman" w:hAnsi="Times New Roman" w:cs="Times New Roman"/>
          <w:iCs/>
          <w:sz w:val="24"/>
          <w:szCs w:val="24"/>
        </w:rPr>
        <w:t>12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0A1723">
        <w:rPr>
          <w:rFonts w:ascii="Times New Roman" w:hAnsi="Times New Roman" w:cs="Times New Roman"/>
          <w:iCs/>
          <w:sz w:val="24"/>
          <w:szCs w:val="24"/>
        </w:rPr>
        <w:t>2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«Зеленец» - </w:t>
      </w:r>
      <w:r w:rsidR="000A1723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0A1723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Управление Федеральной службы по надзору в сфере защиты прав потребителей – 3</w:t>
      </w:r>
      <w:r w:rsidR="00B43971">
        <w:rPr>
          <w:rFonts w:ascii="Times New Roman" w:hAnsi="Times New Roman" w:cs="Times New Roman"/>
          <w:iCs/>
          <w:sz w:val="24"/>
          <w:szCs w:val="24"/>
        </w:rPr>
        <w:t>;</w:t>
      </w:r>
    </w:p>
    <w:p w:rsidR="006367F2" w:rsidRPr="00C66E0B" w:rsidRDefault="006367F2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Государственный совет РК – </w:t>
      </w:r>
      <w:r w:rsidR="000A1723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F35DBF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0A1723">
        <w:rPr>
          <w:rFonts w:ascii="Times New Roman" w:hAnsi="Times New Roman" w:cs="Times New Roman"/>
          <w:iCs/>
          <w:sz w:val="24"/>
          <w:szCs w:val="24"/>
        </w:rPr>
        <w:t>87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.</w:t>
      </w:r>
    </w:p>
    <w:p w:rsidR="001F0D1B" w:rsidRDefault="00DB71A5" w:rsidP="00AA69AA">
      <w:pPr>
        <w:jc w:val="center"/>
      </w:pPr>
      <w:r w:rsidRPr="00F35D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346F">
        <w:rPr>
          <w:noProof/>
          <w:lang w:eastAsia="ru-RU"/>
        </w:rPr>
        <w:drawing>
          <wp:inline distT="0" distB="0" distL="0" distR="0" wp14:anchorId="34E64E66" wp14:editId="6430171C">
            <wp:extent cx="4743450" cy="3624263"/>
            <wp:effectExtent l="0" t="0" r="19050" b="146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AA69AA">
      <w:pPr>
        <w:pStyle w:val="Default"/>
        <w:spacing w:line="276" w:lineRule="auto"/>
        <w:ind w:left="851" w:firstLine="567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lastRenderedPageBreak/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7E0A" w:rsidRDefault="007552DB" w:rsidP="00757E0A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757E0A" w:rsidRDefault="00757E0A" w:rsidP="00757E0A">
      <w:pPr>
        <w:pStyle w:val="Default"/>
        <w:spacing w:line="276" w:lineRule="auto"/>
        <w:ind w:left="1428"/>
        <w:contextualSpacing/>
        <w:jc w:val="center"/>
      </w:pPr>
    </w:p>
    <w:p w:rsidR="00757E0A" w:rsidRDefault="00757E0A" w:rsidP="00757E0A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6872B9A7" wp14:editId="53DEE17B">
            <wp:extent cx="5191126" cy="4976814"/>
            <wp:effectExtent l="0" t="0" r="952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D47" w:rsidRDefault="00BD0D47" w:rsidP="00757E0A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944F68" w:rsidRDefault="001302C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7D68B5" w:rsidRDefault="007A1D0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43A5D8" wp14:editId="20037891">
            <wp:extent cx="5019675" cy="3497580"/>
            <wp:effectExtent l="0" t="0" r="9525" b="2667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1345C2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D6EEE0" wp14:editId="1A2B2E14">
            <wp:extent cx="5646420" cy="2754630"/>
            <wp:effectExtent l="0" t="0" r="114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0AB3" w:rsidRDefault="00010AB3" w:rsidP="004965EE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2474AE">
      <w:pPr>
        <w:ind w:right="-285"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887DA9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F3C5C" w:rsidRDefault="00CF3C5C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122E63" w:rsidRDefault="001345C2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C8DA4C" wp14:editId="7D03225F">
            <wp:extent cx="4572000" cy="25527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5EE" w:rsidRDefault="004965EE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3B6C8A" w:rsidRDefault="003B6C8A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542C59" w:rsidP="00426211">
      <w:pPr>
        <w:ind w:right="-285" w:firstLine="1701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B381E0" wp14:editId="5C0C8BA0">
            <wp:extent cx="4572000" cy="36195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 жителей сельского поселения «Палевицы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742901" w:rsidRDefault="00742901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542C59" w:rsidP="007A3CBA">
      <w:pPr>
        <w:ind w:right="-285" w:firstLine="1418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F308FB" wp14:editId="74203064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A42059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Яснэг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EF60B1" w:rsidP="007A3CBA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C35F07" wp14:editId="60CE640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61AE" w:rsidRDefault="00FF61AE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FB49C2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Ыб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455FC9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A57517" wp14:editId="468C0918">
            <wp:extent cx="4572000" cy="25527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Озёл</w:t>
      </w:r>
      <w:proofErr w:type="spellEnd"/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2C5" w:rsidRDefault="001232C5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019A" w:rsidRDefault="00E40EAE" w:rsidP="00BE5C60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0B8AFE" wp14:editId="15325DBF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2C5" w:rsidRDefault="001232C5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2C5" w:rsidRDefault="001232C5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Слудка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D1528D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4154DC" wp14:editId="0FB43E95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705B" w:rsidRDefault="00944F68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1D18DF">
      <w:pPr>
        <w:tabs>
          <w:tab w:val="left" w:pos="1843"/>
        </w:tabs>
        <w:ind w:left="1560" w:right="-285" w:hanging="1843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5D04FE" w:rsidP="00583D79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B34736" wp14:editId="5FFCE800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285C" w:rsidRDefault="002B285C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Нювчим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5D04FE" w:rsidRDefault="005D04FE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4FE" w:rsidRDefault="001038C1" w:rsidP="005D04FE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E1CE5D" wp14:editId="55CB4FA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019A" w:rsidRDefault="00B6019A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Мандач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2C5" w:rsidRDefault="001232C5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5D04FE" w:rsidP="00BE5C60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BD6639" wp14:editId="3E8B41F8">
            <wp:extent cx="4572000" cy="27432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42059" w:rsidRDefault="00A42059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2892" w:rsidRDefault="00E32892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2C5" w:rsidRDefault="001232C5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2C5" w:rsidRDefault="001232C5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2C5" w:rsidRDefault="001232C5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Лэзым</w:t>
      </w:r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9C7AC6" w:rsidRDefault="009C7AC6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7AC6" w:rsidRDefault="009C7AC6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9E1F4A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1B83A3" wp14:editId="26968CAE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77BCC" w:rsidRDefault="00677BCC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CE0A9F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460768">
        <w:rPr>
          <w:rFonts w:ascii="Times New Roman" w:hAnsi="Times New Roman" w:cs="Times New Roman"/>
          <w:iCs/>
          <w:sz w:val="24"/>
          <w:szCs w:val="24"/>
        </w:rPr>
        <w:t>302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; отказано – 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>, 17 обращений перенаправлены в компетентные органы для дальнейшего рассмотрения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9B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9B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9B7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B249B7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AE0B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C39" w:rsidRPr="00A53E11" w:rsidRDefault="00A63A41" w:rsidP="00BD682E">
      <w:pPr>
        <w:ind w:left="1560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r w:rsidR="00B249B7">
        <w:rPr>
          <w:noProof/>
          <w:lang w:eastAsia="ru-RU"/>
        </w:rPr>
        <w:drawing>
          <wp:inline distT="0" distB="0" distL="0" distR="0" wp14:anchorId="48B721D2" wp14:editId="7607F2FB">
            <wp:extent cx="4572000" cy="27432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30" w:rsidRDefault="00586130" w:rsidP="005C1AB2">
      <w:pPr>
        <w:spacing w:after="0" w:line="240" w:lineRule="auto"/>
      </w:pPr>
      <w:r>
        <w:separator/>
      </w:r>
    </w:p>
  </w:endnote>
  <w:endnote w:type="continuationSeparator" w:id="0">
    <w:p w:rsidR="00586130" w:rsidRDefault="00586130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30" w:rsidRDefault="00586130" w:rsidP="005C1AB2">
      <w:pPr>
        <w:spacing w:after="0" w:line="240" w:lineRule="auto"/>
      </w:pPr>
      <w:r>
        <w:separator/>
      </w:r>
    </w:p>
  </w:footnote>
  <w:footnote w:type="continuationSeparator" w:id="0">
    <w:p w:rsidR="00586130" w:rsidRDefault="00586130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10AB3"/>
    <w:rsid w:val="00021E09"/>
    <w:rsid w:val="00022085"/>
    <w:rsid w:val="00026EA0"/>
    <w:rsid w:val="000448D4"/>
    <w:rsid w:val="00046C83"/>
    <w:rsid w:val="00056459"/>
    <w:rsid w:val="00065E45"/>
    <w:rsid w:val="000738A3"/>
    <w:rsid w:val="00090FBA"/>
    <w:rsid w:val="000A1723"/>
    <w:rsid w:val="000A6324"/>
    <w:rsid w:val="000B2525"/>
    <w:rsid w:val="000B37A3"/>
    <w:rsid w:val="000B4A1C"/>
    <w:rsid w:val="000E7F71"/>
    <w:rsid w:val="001038C1"/>
    <w:rsid w:val="00110281"/>
    <w:rsid w:val="001117A0"/>
    <w:rsid w:val="001133A3"/>
    <w:rsid w:val="00122E63"/>
    <w:rsid w:val="001232C5"/>
    <w:rsid w:val="00123D76"/>
    <w:rsid w:val="00127034"/>
    <w:rsid w:val="001302C7"/>
    <w:rsid w:val="00131AEF"/>
    <w:rsid w:val="00134318"/>
    <w:rsid w:val="001345C2"/>
    <w:rsid w:val="00135DE9"/>
    <w:rsid w:val="00140973"/>
    <w:rsid w:val="00143AF0"/>
    <w:rsid w:val="00144186"/>
    <w:rsid w:val="00154CAB"/>
    <w:rsid w:val="001558E3"/>
    <w:rsid w:val="001825A9"/>
    <w:rsid w:val="00192512"/>
    <w:rsid w:val="001A2247"/>
    <w:rsid w:val="001B3DE5"/>
    <w:rsid w:val="001B706E"/>
    <w:rsid w:val="001D18DF"/>
    <w:rsid w:val="001D7F40"/>
    <w:rsid w:val="001F0D1B"/>
    <w:rsid w:val="00203A29"/>
    <w:rsid w:val="002110A2"/>
    <w:rsid w:val="002132A1"/>
    <w:rsid w:val="00224255"/>
    <w:rsid w:val="00236C33"/>
    <w:rsid w:val="0023757D"/>
    <w:rsid w:val="002466E1"/>
    <w:rsid w:val="002474AE"/>
    <w:rsid w:val="002533B6"/>
    <w:rsid w:val="0026133E"/>
    <w:rsid w:val="0026795B"/>
    <w:rsid w:val="00277239"/>
    <w:rsid w:val="0029326F"/>
    <w:rsid w:val="002A2174"/>
    <w:rsid w:val="002A74EF"/>
    <w:rsid w:val="002B285C"/>
    <w:rsid w:val="002C1979"/>
    <w:rsid w:val="002C666D"/>
    <w:rsid w:val="002F3D07"/>
    <w:rsid w:val="00303BCE"/>
    <w:rsid w:val="003109E5"/>
    <w:rsid w:val="00316F3F"/>
    <w:rsid w:val="00320128"/>
    <w:rsid w:val="003238B9"/>
    <w:rsid w:val="00323D98"/>
    <w:rsid w:val="003528EB"/>
    <w:rsid w:val="00355C82"/>
    <w:rsid w:val="003704CD"/>
    <w:rsid w:val="00370EBE"/>
    <w:rsid w:val="00380CC2"/>
    <w:rsid w:val="00386AD4"/>
    <w:rsid w:val="003A7635"/>
    <w:rsid w:val="003B09B3"/>
    <w:rsid w:val="003B6C8A"/>
    <w:rsid w:val="003C5C7D"/>
    <w:rsid w:val="003F6F2A"/>
    <w:rsid w:val="00413086"/>
    <w:rsid w:val="00414C38"/>
    <w:rsid w:val="00416FA2"/>
    <w:rsid w:val="00426211"/>
    <w:rsid w:val="00427089"/>
    <w:rsid w:val="004319B0"/>
    <w:rsid w:val="00444A50"/>
    <w:rsid w:val="00447A98"/>
    <w:rsid w:val="0045072C"/>
    <w:rsid w:val="0045099D"/>
    <w:rsid w:val="00455FC9"/>
    <w:rsid w:val="00460768"/>
    <w:rsid w:val="00470344"/>
    <w:rsid w:val="00470D2F"/>
    <w:rsid w:val="00470D99"/>
    <w:rsid w:val="00471EA8"/>
    <w:rsid w:val="00485442"/>
    <w:rsid w:val="004875E4"/>
    <w:rsid w:val="00490BFB"/>
    <w:rsid w:val="00492B3B"/>
    <w:rsid w:val="004965EE"/>
    <w:rsid w:val="004B0E2B"/>
    <w:rsid w:val="004B1074"/>
    <w:rsid w:val="004C10C3"/>
    <w:rsid w:val="004E4B81"/>
    <w:rsid w:val="004F6CFF"/>
    <w:rsid w:val="004F72D9"/>
    <w:rsid w:val="004F7851"/>
    <w:rsid w:val="0050577D"/>
    <w:rsid w:val="00510E27"/>
    <w:rsid w:val="00516FF0"/>
    <w:rsid w:val="005278CA"/>
    <w:rsid w:val="00537707"/>
    <w:rsid w:val="00540553"/>
    <w:rsid w:val="00542C59"/>
    <w:rsid w:val="00545865"/>
    <w:rsid w:val="005574C4"/>
    <w:rsid w:val="00572D72"/>
    <w:rsid w:val="005733D9"/>
    <w:rsid w:val="00583D79"/>
    <w:rsid w:val="00586130"/>
    <w:rsid w:val="00587B09"/>
    <w:rsid w:val="005A3566"/>
    <w:rsid w:val="005A3A39"/>
    <w:rsid w:val="005B24DF"/>
    <w:rsid w:val="005C1AB2"/>
    <w:rsid w:val="005C5080"/>
    <w:rsid w:val="005C73BE"/>
    <w:rsid w:val="005D04FE"/>
    <w:rsid w:val="005D4132"/>
    <w:rsid w:val="005E31F7"/>
    <w:rsid w:val="005E350C"/>
    <w:rsid w:val="005E4D74"/>
    <w:rsid w:val="005E5F9A"/>
    <w:rsid w:val="005E642E"/>
    <w:rsid w:val="005F3477"/>
    <w:rsid w:val="0061125A"/>
    <w:rsid w:val="00612823"/>
    <w:rsid w:val="00613DF7"/>
    <w:rsid w:val="006367F2"/>
    <w:rsid w:val="006444EE"/>
    <w:rsid w:val="00645BCC"/>
    <w:rsid w:val="006523A7"/>
    <w:rsid w:val="0065442D"/>
    <w:rsid w:val="006556E5"/>
    <w:rsid w:val="006774FF"/>
    <w:rsid w:val="00677BCC"/>
    <w:rsid w:val="00683680"/>
    <w:rsid w:val="00684C53"/>
    <w:rsid w:val="00687879"/>
    <w:rsid w:val="006A0C73"/>
    <w:rsid w:val="006A2076"/>
    <w:rsid w:val="006C1408"/>
    <w:rsid w:val="006C35BB"/>
    <w:rsid w:val="006D1CFD"/>
    <w:rsid w:val="006D40F8"/>
    <w:rsid w:val="006E4305"/>
    <w:rsid w:val="006E4AC4"/>
    <w:rsid w:val="006F34D3"/>
    <w:rsid w:val="006F57D4"/>
    <w:rsid w:val="007053FF"/>
    <w:rsid w:val="00716CD2"/>
    <w:rsid w:val="0072191F"/>
    <w:rsid w:val="007371E1"/>
    <w:rsid w:val="00742901"/>
    <w:rsid w:val="00745338"/>
    <w:rsid w:val="0074630B"/>
    <w:rsid w:val="007552DB"/>
    <w:rsid w:val="00757E0A"/>
    <w:rsid w:val="00772103"/>
    <w:rsid w:val="007739D0"/>
    <w:rsid w:val="007756A1"/>
    <w:rsid w:val="0077725A"/>
    <w:rsid w:val="00781718"/>
    <w:rsid w:val="007821D7"/>
    <w:rsid w:val="007A05C0"/>
    <w:rsid w:val="007A1CA4"/>
    <w:rsid w:val="007A1D05"/>
    <w:rsid w:val="007A2679"/>
    <w:rsid w:val="007A3CBA"/>
    <w:rsid w:val="007B1D49"/>
    <w:rsid w:val="007C4585"/>
    <w:rsid w:val="007C5688"/>
    <w:rsid w:val="007D68B5"/>
    <w:rsid w:val="008060FB"/>
    <w:rsid w:val="0081408A"/>
    <w:rsid w:val="0081599B"/>
    <w:rsid w:val="00834A07"/>
    <w:rsid w:val="00836D0C"/>
    <w:rsid w:val="0084473F"/>
    <w:rsid w:val="00847378"/>
    <w:rsid w:val="00854931"/>
    <w:rsid w:val="008606FD"/>
    <w:rsid w:val="008626EA"/>
    <w:rsid w:val="00863D24"/>
    <w:rsid w:val="00870105"/>
    <w:rsid w:val="00886EC4"/>
    <w:rsid w:val="00887DA9"/>
    <w:rsid w:val="008935F7"/>
    <w:rsid w:val="008A5AE1"/>
    <w:rsid w:val="008A644D"/>
    <w:rsid w:val="008A74C7"/>
    <w:rsid w:val="008B6BFD"/>
    <w:rsid w:val="008B7B87"/>
    <w:rsid w:val="008C7976"/>
    <w:rsid w:val="008E14E2"/>
    <w:rsid w:val="008E27FF"/>
    <w:rsid w:val="008F2187"/>
    <w:rsid w:val="00902384"/>
    <w:rsid w:val="00902FFF"/>
    <w:rsid w:val="00905955"/>
    <w:rsid w:val="00915ECE"/>
    <w:rsid w:val="00944F68"/>
    <w:rsid w:val="0097109F"/>
    <w:rsid w:val="0097346F"/>
    <w:rsid w:val="00977028"/>
    <w:rsid w:val="009A08E1"/>
    <w:rsid w:val="009A4D7B"/>
    <w:rsid w:val="009B409C"/>
    <w:rsid w:val="009B7E1C"/>
    <w:rsid w:val="009C7AC6"/>
    <w:rsid w:val="009D0F40"/>
    <w:rsid w:val="009E1F4A"/>
    <w:rsid w:val="009E1FD4"/>
    <w:rsid w:val="009E2499"/>
    <w:rsid w:val="009E7039"/>
    <w:rsid w:val="009E71AC"/>
    <w:rsid w:val="009F2B5A"/>
    <w:rsid w:val="00A11F78"/>
    <w:rsid w:val="00A31F6F"/>
    <w:rsid w:val="00A40CDC"/>
    <w:rsid w:val="00A42059"/>
    <w:rsid w:val="00A444E6"/>
    <w:rsid w:val="00A473D8"/>
    <w:rsid w:val="00A52521"/>
    <w:rsid w:val="00A538CD"/>
    <w:rsid w:val="00A53E11"/>
    <w:rsid w:val="00A63A41"/>
    <w:rsid w:val="00A7609D"/>
    <w:rsid w:val="00A8013A"/>
    <w:rsid w:val="00A81D59"/>
    <w:rsid w:val="00A823D5"/>
    <w:rsid w:val="00A916E2"/>
    <w:rsid w:val="00A936B0"/>
    <w:rsid w:val="00AA1BEE"/>
    <w:rsid w:val="00AA3D9C"/>
    <w:rsid w:val="00AA4DF6"/>
    <w:rsid w:val="00AA69AA"/>
    <w:rsid w:val="00AB1AD1"/>
    <w:rsid w:val="00AB24B2"/>
    <w:rsid w:val="00AB4B56"/>
    <w:rsid w:val="00AB74D5"/>
    <w:rsid w:val="00AC061E"/>
    <w:rsid w:val="00AC4F54"/>
    <w:rsid w:val="00AE0B53"/>
    <w:rsid w:val="00AE5DEF"/>
    <w:rsid w:val="00AE6FDF"/>
    <w:rsid w:val="00AF672B"/>
    <w:rsid w:val="00B038B2"/>
    <w:rsid w:val="00B06A39"/>
    <w:rsid w:val="00B07456"/>
    <w:rsid w:val="00B1428A"/>
    <w:rsid w:val="00B23E23"/>
    <w:rsid w:val="00B249B7"/>
    <w:rsid w:val="00B37312"/>
    <w:rsid w:val="00B43971"/>
    <w:rsid w:val="00B55213"/>
    <w:rsid w:val="00B6019A"/>
    <w:rsid w:val="00B63EBB"/>
    <w:rsid w:val="00B719B0"/>
    <w:rsid w:val="00B77D09"/>
    <w:rsid w:val="00B8392A"/>
    <w:rsid w:val="00B87BA6"/>
    <w:rsid w:val="00B92E80"/>
    <w:rsid w:val="00BB37FE"/>
    <w:rsid w:val="00BB398D"/>
    <w:rsid w:val="00BB7F2A"/>
    <w:rsid w:val="00BD046C"/>
    <w:rsid w:val="00BD0D47"/>
    <w:rsid w:val="00BD4C92"/>
    <w:rsid w:val="00BD682E"/>
    <w:rsid w:val="00BE0A21"/>
    <w:rsid w:val="00BE4FEB"/>
    <w:rsid w:val="00BE5C60"/>
    <w:rsid w:val="00BF4842"/>
    <w:rsid w:val="00C009F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6E0B"/>
    <w:rsid w:val="00C76260"/>
    <w:rsid w:val="00C802D4"/>
    <w:rsid w:val="00C87331"/>
    <w:rsid w:val="00C93CF9"/>
    <w:rsid w:val="00CA4D06"/>
    <w:rsid w:val="00CA705B"/>
    <w:rsid w:val="00CA7329"/>
    <w:rsid w:val="00CB6670"/>
    <w:rsid w:val="00CC2480"/>
    <w:rsid w:val="00CD4F39"/>
    <w:rsid w:val="00CE04CC"/>
    <w:rsid w:val="00CE0A9F"/>
    <w:rsid w:val="00CE0B04"/>
    <w:rsid w:val="00CE443B"/>
    <w:rsid w:val="00CF3C5C"/>
    <w:rsid w:val="00CF58A6"/>
    <w:rsid w:val="00D02988"/>
    <w:rsid w:val="00D05F2F"/>
    <w:rsid w:val="00D065DA"/>
    <w:rsid w:val="00D1163F"/>
    <w:rsid w:val="00D1528D"/>
    <w:rsid w:val="00D2293F"/>
    <w:rsid w:val="00D61806"/>
    <w:rsid w:val="00D75302"/>
    <w:rsid w:val="00D80DDA"/>
    <w:rsid w:val="00D85642"/>
    <w:rsid w:val="00DA01B3"/>
    <w:rsid w:val="00DA7199"/>
    <w:rsid w:val="00DB2E9A"/>
    <w:rsid w:val="00DB71A5"/>
    <w:rsid w:val="00DC0A92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32892"/>
    <w:rsid w:val="00E40EAE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402E"/>
    <w:rsid w:val="00EF60B1"/>
    <w:rsid w:val="00F00987"/>
    <w:rsid w:val="00F067BE"/>
    <w:rsid w:val="00F12352"/>
    <w:rsid w:val="00F35DBF"/>
    <w:rsid w:val="00F53584"/>
    <w:rsid w:val="00F75913"/>
    <w:rsid w:val="00F846A2"/>
    <w:rsid w:val="00F851D4"/>
    <w:rsid w:val="00FB49C2"/>
    <w:rsid w:val="00FC0C59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Лист1!$A$26:$A$33</c:f>
              <c:strCache>
                <c:ptCount val="8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Минстрой РК</c:v>
                </c:pt>
                <c:pt idx="4">
                  <c:v>Администрация сп "Зеленец"</c:v>
                </c:pt>
                <c:pt idx="5">
                  <c:v>Управление ФС Роспотребнадзора</c:v>
                </c:pt>
                <c:pt idx="6">
                  <c:v>Госуарственный совет РК</c:v>
                </c:pt>
                <c:pt idx="7">
                  <c:v>Прочие</c:v>
                </c:pt>
              </c:strCache>
            </c:strRef>
          </c:cat>
          <c:val>
            <c:numRef>
              <c:f>Лист1!$B$26:$B$33</c:f>
              <c:numCache>
                <c:formatCode>General</c:formatCode>
                <c:ptCount val="8"/>
                <c:pt idx="0">
                  <c:v>127</c:v>
                </c:pt>
                <c:pt idx="1">
                  <c:v>25</c:v>
                </c:pt>
                <c:pt idx="2">
                  <c:v>12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763072"/>
        <c:axId val="93764992"/>
      </c:barChart>
      <c:catAx>
        <c:axId val="9376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93764992"/>
        <c:crosses val="autoZero"/>
        <c:auto val="1"/>
        <c:lblAlgn val="ctr"/>
        <c:lblOffset val="100"/>
        <c:noMultiLvlLbl val="0"/>
      </c:catAx>
      <c:valAx>
        <c:axId val="9376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76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Лист1!$A$201</c:f>
              <c:strCache>
                <c:ptCount val="1"/>
                <c:pt idx="0">
                  <c:v>оказание материальной помощи</c:v>
                </c:pt>
              </c:strCache>
            </c:strRef>
          </c:tx>
          <c:val>
            <c:numRef>
              <c:f>Лист1!$B$201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Лист1!$A$284:$A$288</c:f>
              <c:strCache>
                <c:ptCount val="5"/>
                <c:pt idx="0">
                  <c:v>вопросы землепользования</c:v>
                </c:pt>
                <c:pt idx="1">
                  <c:v>вопросы благоустройства сельских территорий</c:v>
                </c:pt>
                <c:pt idx="2">
                  <c:v>жилищные вопросы</c:v>
                </c:pt>
                <c:pt idx="3">
                  <c:v>вопросы переселения</c:v>
                </c:pt>
                <c:pt idx="4">
                  <c:v>прочие</c:v>
                </c:pt>
              </c:strCache>
            </c:strRef>
          </c:cat>
          <c:val>
            <c:numRef>
              <c:f>Лист1!$B$284:$B$288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Лист1!$A$218:$A$220</c:f>
              <c:strCache>
                <c:ptCount val="3"/>
                <c:pt idx="0">
                  <c:v>дорожное хозяйство</c:v>
                </c:pt>
                <c:pt idx="1">
                  <c:v>благойстройство территории</c:v>
                </c:pt>
                <c:pt idx="2">
                  <c:v>прочие</c:v>
                </c:pt>
              </c:strCache>
            </c:strRef>
          </c:cat>
          <c:val>
            <c:numRef>
              <c:f>Лист1!$B$218:$B$220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Лист1!$A$230</c:f>
              <c:strCache>
                <c:ptCount val="1"/>
                <c:pt idx="0">
                  <c:v>вопросы землепользования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Лист1!$B$230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Лист1!$A$250</c:f>
              <c:strCache>
                <c:ptCount val="1"/>
                <c:pt idx="0">
                  <c:v>выполнение работ по капитальному ремонту</c:v>
                </c:pt>
              </c:strCache>
            </c:strRef>
          </c:tx>
          <c:val>
            <c:numRef>
              <c:f>Лист1!$B$250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Лист1!$A$268:$A$269</c:f>
              <c:strCache>
                <c:ptCount val="2"/>
                <c:pt idx="0">
                  <c:v>жилищные вопросы</c:v>
                </c:pt>
                <c:pt idx="1">
                  <c:v>вопросы землепользования</c:v>
                </c:pt>
              </c:strCache>
            </c:strRef>
          </c:cat>
          <c:val>
            <c:numRef>
              <c:f>Лист1!$B$268:$B$269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Лист1!$A$295:$A$297</c:f>
              <c:strCache>
                <c:ptCount val="3"/>
                <c:pt idx="0">
                  <c:v>Лажанев О.А.</c:v>
                </c:pt>
                <c:pt idx="1">
                  <c:v>Доронина Л.Ю.</c:v>
                </c:pt>
                <c:pt idx="2">
                  <c:v>Долингер Н.В.</c:v>
                </c:pt>
              </c:strCache>
            </c:strRef>
          </c:cat>
          <c:val>
            <c:numRef>
              <c:f>Лист1!$B$295:$B$297</c:f>
              <c:numCache>
                <c:formatCode>General</c:formatCode>
                <c:ptCount val="3"/>
                <c:pt idx="0">
                  <c:v>10</c:v>
                </c:pt>
                <c:pt idx="1">
                  <c:v>18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72987751531059"/>
          <c:y val="0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Лист1!$A$1:$A$12</c:f>
              <c:strCache>
                <c:ptCount val="12"/>
                <c:pt idx="0">
                  <c:v>Вопросы землепользования</c:v>
                </c:pt>
                <c:pt idx="1">
                  <c:v>Вопросы благоустройства сельских территорий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  <c:pt idx="4">
                  <c:v>Жилищные вопросы</c:v>
                </c:pt>
                <c:pt idx="5">
                  <c:v>Строительные недоделки</c:v>
                </c:pt>
                <c:pt idx="6">
                  <c:v>Вопросы строительства</c:v>
                </c:pt>
                <c:pt idx="7">
                  <c:v>Вопросы переселения</c:v>
                </c:pt>
                <c:pt idx="8">
                  <c:v>Оказание материальной помощи</c:v>
                </c:pt>
                <c:pt idx="9">
                  <c:v>Выполнение работ по капитальному ремонту</c:v>
                </c:pt>
                <c:pt idx="10">
                  <c:v>Газификация</c:v>
                </c:pt>
                <c:pt idx="11">
                  <c:v>Прочие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80</c:v>
                </c:pt>
                <c:pt idx="1">
                  <c:v>40</c:v>
                </c:pt>
                <c:pt idx="2">
                  <c:v>24</c:v>
                </c:pt>
                <c:pt idx="3">
                  <c:v>24</c:v>
                </c:pt>
                <c:pt idx="4">
                  <c:v>18</c:v>
                </c:pt>
                <c:pt idx="5">
                  <c:v>4</c:v>
                </c:pt>
                <c:pt idx="6">
                  <c:v>7</c:v>
                </c:pt>
                <c:pt idx="7">
                  <c:v>12</c:v>
                </c:pt>
                <c:pt idx="8">
                  <c:v>11</c:v>
                </c:pt>
                <c:pt idx="9">
                  <c:v>4</c:v>
                </c:pt>
                <c:pt idx="10">
                  <c:v>3</c:v>
                </c:pt>
                <c:pt idx="1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Лист1!$A$66:$A$79</c:f>
              <c:strCache>
                <c:ptCount val="14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Ыб</c:v>
                </c:pt>
                <c:pt idx="4">
                  <c:v>Слудка</c:v>
                </c:pt>
                <c:pt idx="5">
                  <c:v>Озел</c:v>
                </c:pt>
                <c:pt idx="6">
                  <c:v>Палевицы</c:v>
                </c:pt>
                <c:pt idx="7">
                  <c:v>Мандач</c:v>
                </c:pt>
                <c:pt idx="8">
                  <c:v>Нювчим</c:v>
                </c:pt>
                <c:pt idx="9">
                  <c:v>Часово</c:v>
                </c:pt>
                <c:pt idx="10">
                  <c:v>Шошка</c:v>
                </c:pt>
                <c:pt idx="11">
                  <c:v>Лэзым</c:v>
                </c:pt>
                <c:pt idx="12">
                  <c:v>Яснэг</c:v>
                </c:pt>
                <c:pt idx="13">
                  <c:v>Прочее</c:v>
                </c:pt>
              </c:strCache>
            </c:strRef>
          </c:cat>
          <c:val>
            <c:numRef>
              <c:f>Лист1!$B$70:$B$83</c:f>
              <c:numCache>
                <c:formatCode>General</c:formatCode>
                <c:ptCount val="14"/>
                <c:pt idx="0">
                  <c:v>136</c:v>
                </c:pt>
                <c:pt idx="1">
                  <c:v>18</c:v>
                </c:pt>
                <c:pt idx="2">
                  <c:v>16</c:v>
                </c:pt>
                <c:pt idx="3">
                  <c:v>8</c:v>
                </c:pt>
                <c:pt idx="4">
                  <c:v>7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01088"/>
        <c:axId val="134672768"/>
      </c:barChart>
      <c:catAx>
        <c:axId val="132201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672768"/>
        <c:crosses val="autoZero"/>
        <c:auto val="1"/>
        <c:lblAlgn val="ctr"/>
        <c:lblOffset val="100"/>
        <c:noMultiLvlLbl val="0"/>
      </c:catAx>
      <c:valAx>
        <c:axId val="1346727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2201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Лист1!$A$100:$A$110</c:f>
              <c:strCache>
                <c:ptCount val="11"/>
                <c:pt idx="0">
                  <c:v>жилищные вопросы</c:v>
                </c:pt>
                <c:pt idx="1">
                  <c:v>вопросы благоустройства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коммунальные вопросы</c:v>
                </c:pt>
                <c:pt idx="5">
                  <c:v>строительные недоделки</c:v>
                </c:pt>
                <c:pt idx="6">
                  <c:v>выполнение работ по капитальному ремонту</c:v>
                </c:pt>
                <c:pt idx="7">
                  <c:v>вопросы строительства</c:v>
                </c:pt>
                <c:pt idx="8">
                  <c:v>вопросы переселения</c:v>
                </c:pt>
                <c:pt idx="9">
                  <c:v>вопросы газификации</c:v>
                </c:pt>
                <c:pt idx="10">
                  <c:v>прочее</c:v>
                </c:pt>
              </c:strCache>
            </c:strRef>
          </c:cat>
          <c:val>
            <c:numRef>
              <c:f>Лист1!$B$100:$B$110</c:f>
              <c:numCache>
                <c:formatCode>General</c:formatCode>
                <c:ptCount val="11"/>
                <c:pt idx="0">
                  <c:v>9</c:v>
                </c:pt>
                <c:pt idx="1">
                  <c:v>33</c:v>
                </c:pt>
                <c:pt idx="2">
                  <c:v>47</c:v>
                </c:pt>
                <c:pt idx="3">
                  <c:v>9</c:v>
                </c:pt>
                <c:pt idx="4">
                  <c:v>11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23648"/>
        <c:axId val="98925184"/>
      </c:barChart>
      <c:catAx>
        <c:axId val="9892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925184"/>
        <c:crosses val="autoZero"/>
        <c:auto val="1"/>
        <c:lblAlgn val="ctr"/>
        <c:lblOffset val="100"/>
        <c:noMultiLvlLbl val="0"/>
      </c:catAx>
      <c:valAx>
        <c:axId val="989251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892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Лист1!$A$114:$A$121</c:f>
              <c:strCache>
                <c:ptCount val="8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вопросы благоустройства</c:v>
                </c:pt>
                <c:pt idx="4">
                  <c:v>дорожное хозяйство</c:v>
                </c:pt>
                <c:pt idx="5">
                  <c:v>вопросы переселения</c:v>
                </c:pt>
                <c:pt idx="6">
                  <c:v>Строительные недоделки</c:v>
                </c:pt>
                <c:pt idx="7">
                  <c:v>прочие</c:v>
                </c:pt>
              </c:strCache>
            </c:strRef>
          </c:cat>
          <c:val>
            <c:numRef>
              <c:f>Лист1!$B$114:$B$121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0270720"/>
        <c:axId val="91549056"/>
      </c:barChart>
      <c:catAx>
        <c:axId val="9027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549056"/>
        <c:crosses val="autoZero"/>
        <c:auto val="1"/>
        <c:lblAlgn val="ctr"/>
        <c:lblOffset val="100"/>
        <c:noMultiLvlLbl val="0"/>
      </c:catAx>
      <c:valAx>
        <c:axId val="915490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9027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Лист1!$A$126:$A$133</c:f>
              <c:strCache>
                <c:ptCount val="8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оказание материалой помощи</c:v>
                </c:pt>
                <c:pt idx="4">
                  <c:v>вопросы переселения</c:v>
                </c:pt>
                <c:pt idx="5">
                  <c:v>дорожное хозяйство</c:v>
                </c:pt>
                <c:pt idx="6">
                  <c:v>вопросы строительства</c:v>
                </c:pt>
                <c:pt idx="7">
                  <c:v>прочие</c:v>
                </c:pt>
              </c:strCache>
            </c:strRef>
          </c:cat>
          <c:val>
            <c:numRef>
              <c:f>Лист1!$B$126:$B$133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31328"/>
        <c:axId val="89990272"/>
      </c:barChart>
      <c:catAx>
        <c:axId val="8333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990272"/>
        <c:crosses val="autoZero"/>
        <c:auto val="1"/>
        <c:lblAlgn val="ctr"/>
        <c:lblOffset val="100"/>
        <c:noMultiLvlLbl val="0"/>
      </c:catAx>
      <c:valAx>
        <c:axId val="899902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33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Лист1!$A$149:$A$153</c:f>
              <c:strCache>
                <c:ptCount val="5"/>
                <c:pt idx="0">
                  <c:v>коммунальные вопросы</c:v>
                </c:pt>
                <c:pt idx="1">
                  <c:v>жилищные вопросы</c:v>
                </c:pt>
                <c:pt idx="2">
                  <c:v>дорожное хозяйство</c:v>
                </c:pt>
                <c:pt idx="3">
                  <c:v>вопросы строительства</c:v>
                </c:pt>
                <c:pt idx="4">
                  <c:v>прочие</c:v>
                </c:pt>
              </c:strCache>
            </c:strRef>
          </c:cat>
          <c:val>
            <c:numRef>
              <c:f>Лист1!$B$149:$B$153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Лист1!$A$168:$A$170</c:f>
              <c:strCache>
                <c:ptCount val="3"/>
                <c:pt idx="0">
                  <c:v>вопросы землепользования</c:v>
                </c:pt>
                <c:pt idx="1">
                  <c:v>жилищные вопросы</c:v>
                </c:pt>
                <c:pt idx="2">
                  <c:v>вопросы переселения</c:v>
                </c:pt>
              </c:strCache>
            </c:strRef>
          </c:cat>
          <c:val>
            <c:numRef>
              <c:f>Лист1!$B$168:$B$170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Лист1!$A$186:$A$189</c:f>
              <c:strCache>
                <c:ptCount val="4"/>
                <c:pt idx="0">
                  <c:v>коммунальные вопросы</c:v>
                </c:pt>
                <c:pt idx="1">
                  <c:v>строительные недоделки</c:v>
                </c:pt>
                <c:pt idx="2">
                  <c:v>дорожное хозяйство</c:v>
                </c:pt>
                <c:pt idx="3">
                  <c:v>прочие</c:v>
                </c:pt>
              </c:strCache>
            </c:strRef>
          </c:cat>
          <c:val>
            <c:numRef>
              <c:f>Лист1!$B$186:$B$189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0EC2-CB0A-416F-A6C7-D4227D75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49</cp:revision>
  <cp:lastPrinted>2017-10-23T08:54:00Z</cp:lastPrinted>
  <dcterms:created xsi:type="dcterms:W3CDTF">2017-07-13T04:41:00Z</dcterms:created>
  <dcterms:modified xsi:type="dcterms:W3CDTF">2017-10-23T09:38:00Z</dcterms:modified>
</cp:coreProperties>
</file>