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</w:t>
            </w:r>
            <w:r>
              <w:rPr>
                <w:rFonts w:hint="default"/>
                <w:b/>
                <w:sz w:val="22"/>
                <w:szCs w:val="22"/>
              </w:rPr>
              <w:t xml:space="preserve"> 11:04:5502001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«Радуга»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Лэзым</w:t>
            </w:r>
            <w:bookmarkStart w:id="0" w:name="_GoBack"/>
            <w:bookmarkEnd w:id="0"/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№ кадастрового квартала (нескольких смежных кадастровых кварталов):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</w:rPr>
              <w:t xml:space="preserve">11:04:5502001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Лэзым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»: Республика Коми, Сыктывдинский район, с. Лэзым, ул. Центральная, д. 99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.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11:04:5906001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14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D105A"/>
    <w:rsid w:val="0B33186F"/>
    <w:rsid w:val="1F2431AA"/>
    <w:rsid w:val="3EC644A0"/>
    <w:rsid w:val="42B20AEE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