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0FED2" w14:textId="49CC2C49" w:rsidR="0047431B" w:rsidRDefault="0047431B" w:rsidP="00474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31B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6FCA9BB3" w14:textId="77777777" w:rsidR="0047431B" w:rsidRDefault="0047431B" w:rsidP="00474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31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4743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3BB404D2" w14:textId="09893533" w:rsidR="0047431B" w:rsidRDefault="0047431B" w:rsidP="00474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31B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МР «Сыктывдинский»</w:t>
      </w:r>
    </w:p>
    <w:p w14:paraId="24B10FE2" w14:textId="6F0B9020" w:rsidR="0047431B" w:rsidRDefault="0047431B" w:rsidP="00474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31B">
        <w:rPr>
          <w:rFonts w:ascii="Times New Roman" w:hAnsi="Times New Roman" w:cs="Times New Roman"/>
          <w:sz w:val="24"/>
          <w:szCs w:val="24"/>
        </w:rPr>
        <w:t xml:space="preserve">от </w:t>
      </w:r>
      <w:r w:rsidR="00D24300">
        <w:rPr>
          <w:rFonts w:ascii="Times New Roman" w:hAnsi="Times New Roman" w:cs="Times New Roman"/>
          <w:sz w:val="24"/>
          <w:szCs w:val="24"/>
        </w:rPr>
        <w:t>25 февраля 2020 года</w:t>
      </w:r>
      <w:r w:rsidRPr="0047431B">
        <w:rPr>
          <w:rFonts w:ascii="Times New Roman" w:hAnsi="Times New Roman" w:cs="Times New Roman"/>
          <w:sz w:val="24"/>
          <w:szCs w:val="24"/>
        </w:rPr>
        <w:t xml:space="preserve"> № </w:t>
      </w:r>
      <w:r w:rsidR="00D24300">
        <w:rPr>
          <w:rFonts w:ascii="Times New Roman" w:hAnsi="Times New Roman" w:cs="Times New Roman"/>
          <w:sz w:val="24"/>
          <w:szCs w:val="24"/>
        </w:rPr>
        <w:t>2/235</w:t>
      </w:r>
      <w:bookmarkStart w:id="0" w:name="_GoBack"/>
      <w:bookmarkEnd w:id="0"/>
    </w:p>
    <w:p w14:paraId="6371811E" w14:textId="1B9455EC" w:rsidR="0047431B" w:rsidRPr="0047431B" w:rsidRDefault="0047431B" w:rsidP="00474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3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C24E1" w14:textId="5A30E49B" w:rsidR="005A7E05" w:rsidRPr="0047431B" w:rsidRDefault="0047431B" w:rsidP="00474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1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МО </w:t>
      </w:r>
      <w:r>
        <w:rPr>
          <w:rFonts w:ascii="Times New Roman" w:hAnsi="Times New Roman" w:cs="Times New Roman"/>
          <w:b/>
          <w:bCs/>
          <w:sz w:val="24"/>
          <w:szCs w:val="24"/>
        </w:rPr>
        <w:t>МР «Сыктывдинский»</w:t>
      </w:r>
      <w:r w:rsidRPr="0047431B">
        <w:rPr>
          <w:rFonts w:ascii="Times New Roman" w:hAnsi="Times New Roman" w:cs="Times New Roman"/>
          <w:b/>
          <w:bCs/>
          <w:sz w:val="24"/>
          <w:szCs w:val="24"/>
        </w:rPr>
        <w:t>, реализуемых во исполнение Плана мероприятий («дорожной карты») по содействию развитию конкуренции в Республике Коми</w:t>
      </w:r>
    </w:p>
    <w:p w14:paraId="20CA63FA" w14:textId="77777777" w:rsidR="0047431B" w:rsidRPr="0047431B" w:rsidRDefault="0047431B" w:rsidP="00474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4"/>
        <w:gridCol w:w="4439"/>
        <w:gridCol w:w="87"/>
        <w:gridCol w:w="1331"/>
        <w:gridCol w:w="2835"/>
        <w:gridCol w:w="1373"/>
        <w:gridCol w:w="46"/>
        <w:gridCol w:w="1055"/>
        <w:gridCol w:w="13"/>
        <w:gridCol w:w="734"/>
        <w:gridCol w:w="42"/>
        <w:gridCol w:w="740"/>
        <w:gridCol w:w="36"/>
        <w:gridCol w:w="780"/>
        <w:gridCol w:w="1701"/>
      </w:tblGrid>
      <w:tr w:rsidR="005A7E05" w14:paraId="56413D68" w14:textId="77777777" w:rsidTr="00CC7A7B">
        <w:trPr>
          <w:trHeight w:val="690"/>
        </w:trPr>
        <w:tc>
          <w:tcPr>
            <w:tcW w:w="664" w:type="dxa"/>
            <w:vMerge w:val="restart"/>
          </w:tcPr>
          <w:p w14:paraId="0EFFC0A1" w14:textId="77777777"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439" w:type="dxa"/>
            <w:vMerge w:val="restart"/>
          </w:tcPr>
          <w:p w14:paraId="048DA1C1" w14:textId="77777777"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14:paraId="4883249B" w14:textId="77777777"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исполнения мероприятия</w:t>
            </w:r>
          </w:p>
        </w:tc>
        <w:tc>
          <w:tcPr>
            <w:tcW w:w="2835" w:type="dxa"/>
            <w:vMerge w:val="restart"/>
          </w:tcPr>
          <w:p w14:paraId="6A2030B0" w14:textId="77777777"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vMerge w:val="restart"/>
          </w:tcPr>
          <w:p w14:paraId="6FF8BCBB" w14:textId="77777777"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Единицы измерения</w:t>
            </w:r>
          </w:p>
        </w:tc>
        <w:tc>
          <w:tcPr>
            <w:tcW w:w="1068" w:type="dxa"/>
            <w:gridSpan w:val="2"/>
            <w:vMerge w:val="restart"/>
          </w:tcPr>
          <w:p w14:paraId="346D483F" w14:textId="77777777"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Факт, на 1 января 2019 года</w:t>
            </w:r>
          </w:p>
        </w:tc>
        <w:tc>
          <w:tcPr>
            <w:tcW w:w="2332" w:type="dxa"/>
            <w:gridSpan w:val="5"/>
          </w:tcPr>
          <w:p w14:paraId="5F796B88" w14:textId="77777777"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Целевые значения, на 1 января</w:t>
            </w:r>
          </w:p>
        </w:tc>
        <w:tc>
          <w:tcPr>
            <w:tcW w:w="1701" w:type="dxa"/>
            <w:vMerge w:val="restart"/>
          </w:tcPr>
          <w:p w14:paraId="501F27A8" w14:textId="77777777"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</w:tr>
      <w:tr w:rsidR="005A7E05" w14:paraId="19E8D099" w14:textId="77777777" w:rsidTr="00CC7A7B">
        <w:trPr>
          <w:trHeight w:val="690"/>
        </w:trPr>
        <w:tc>
          <w:tcPr>
            <w:tcW w:w="664" w:type="dxa"/>
            <w:vMerge/>
          </w:tcPr>
          <w:p w14:paraId="1FDDB5C5" w14:textId="77777777"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39" w:type="dxa"/>
            <w:vMerge/>
          </w:tcPr>
          <w:p w14:paraId="17930B21" w14:textId="77777777"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gridSpan w:val="2"/>
            <w:vMerge/>
          </w:tcPr>
          <w:p w14:paraId="7F1EAC2E" w14:textId="77777777"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vMerge/>
          </w:tcPr>
          <w:p w14:paraId="56C04D95" w14:textId="77777777"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  <w:gridSpan w:val="2"/>
            <w:vMerge/>
          </w:tcPr>
          <w:p w14:paraId="2A6D241F" w14:textId="77777777"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8" w:type="dxa"/>
            <w:gridSpan w:val="2"/>
            <w:vMerge/>
          </w:tcPr>
          <w:p w14:paraId="380F8EAE" w14:textId="77777777"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6" w:type="dxa"/>
            <w:gridSpan w:val="2"/>
          </w:tcPr>
          <w:p w14:paraId="47E185BF" w14:textId="77777777"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2020</w:t>
            </w:r>
          </w:p>
        </w:tc>
        <w:tc>
          <w:tcPr>
            <w:tcW w:w="776" w:type="dxa"/>
            <w:gridSpan w:val="2"/>
          </w:tcPr>
          <w:p w14:paraId="31D4D6BD" w14:textId="77777777"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780" w:type="dxa"/>
          </w:tcPr>
          <w:p w14:paraId="4D3EEF25" w14:textId="77777777"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1701" w:type="dxa"/>
            <w:vMerge/>
          </w:tcPr>
          <w:p w14:paraId="02693A28" w14:textId="77777777" w:rsidR="005A7E05" w:rsidRDefault="005A7E05" w:rsidP="005A7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951DE" w:rsidRPr="006951DE" w14:paraId="2BFF8115" w14:textId="77777777" w:rsidTr="00CC7A7B">
        <w:trPr>
          <w:trHeight w:val="364"/>
        </w:trPr>
        <w:tc>
          <w:tcPr>
            <w:tcW w:w="15876" w:type="dxa"/>
            <w:gridSpan w:val="15"/>
          </w:tcPr>
          <w:p w14:paraId="13973CAD" w14:textId="30FADBA3" w:rsidR="006951DE" w:rsidRPr="004828F9" w:rsidRDefault="004828F9" w:rsidP="001A28A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муниципальных закупок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закупок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учреждений</w:t>
            </w:r>
          </w:p>
        </w:tc>
      </w:tr>
      <w:tr w:rsidR="004828F9" w:rsidRPr="006951DE" w14:paraId="30F14EA5" w14:textId="77777777" w:rsidTr="00CC7A7B">
        <w:trPr>
          <w:trHeight w:val="364"/>
        </w:trPr>
        <w:tc>
          <w:tcPr>
            <w:tcW w:w="15876" w:type="dxa"/>
            <w:gridSpan w:val="15"/>
          </w:tcPr>
          <w:p w14:paraId="364B5D28" w14:textId="64D03E6C" w:rsidR="004828F9" w:rsidRPr="004828F9" w:rsidRDefault="004828F9" w:rsidP="00482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9">
              <w:rPr>
                <w:rFonts w:ascii="Times New Roman" w:hAnsi="Times New Roman" w:cs="Times New Roman"/>
                <w:sz w:val="24"/>
                <w:szCs w:val="24"/>
              </w:rPr>
              <w:t>По итогам 2018 года 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 составило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8F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участника.</w:t>
            </w:r>
          </w:p>
          <w:p w14:paraId="0D1670C8" w14:textId="64E9091C" w:rsidR="004828F9" w:rsidRPr="004828F9" w:rsidRDefault="004828F9" w:rsidP="004828F9">
            <w:pPr>
              <w:pStyle w:val="a4"/>
              <w:ind w:left="0"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F9">
              <w:rPr>
                <w:rFonts w:ascii="Times New Roman" w:hAnsi="Times New Roman" w:cs="Times New Roman"/>
                <w:sz w:val="24"/>
                <w:szCs w:val="24"/>
              </w:rPr>
              <w:t xml:space="preserve">К 2019 году планируется </w:t>
            </w:r>
            <w:r w:rsidR="00E63FCC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  <w:r w:rsidRPr="004828F9">
              <w:rPr>
                <w:rFonts w:ascii="Times New Roman" w:hAnsi="Times New Roman" w:cs="Times New Roman"/>
                <w:sz w:val="24"/>
                <w:szCs w:val="24"/>
              </w:rPr>
              <w:t xml:space="preserve"> данн</w:t>
            </w:r>
            <w:r w:rsidR="00E63FC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828F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E63F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2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FCC">
              <w:rPr>
                <w:rFonts w:ascii="Times New Roman" w:hAnsi="Times New Roman" w:cs="Times New Roman"/>
                <w:sz w:val="24"/>
                <w:szCs w:val="24"/>
              </w:rPr>
              <w:t>на уровне 2018 года</w:t>
            </w:r>
            <w:r w:rsidRPr="004828F9">
              <w:rPr>
                <w:rFonts w:ascii="Times New Roman" w:hAnsi="Times New Roman" w:cs="Times New Roman"/>
                <w:sz w:val="24"/>
                <w:szCs w:val="24"/>
              </w:rPr>
              <w:t xml:space="preserve"> с сохранением указанного значения в 2020 </w:t>
            </w:r>
            <w:r w:rsidR="00E6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28F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63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28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63FC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82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8F9" w14:paraId="0FA077D9" w14:textId="77777777" w:rsidTr="00CC7A7B">
        <w:trPr>
          <w:trHeight w:val="690"/>
        </w:trPr>
        <w:tc>
          <w:tcPr>
            <w:tcW w:w="664" w:type="dxa"/>
          </w:tcPr>
          <w:p w14:paraId="0407BA01" w14:textId="77777777" w:rsidR="004828F9" w:rsidRPr="001A28A3" w:rsidRDefault="004828F9" w:rsidP="0048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39" w:type="dxa"/>
          </w:tcPr>
          <w:p w14:paraId="377774C2" w14:textId="77777777" w:rsidR="004828F9" w:rsidRPr="001A28A3" w:rsidRDefault="004828F9" w:rsidP="0048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A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централизацию закупок</w:t>
            </w:r>
          </w:p>
        </w:tc>
        <w:tc>
          <w:tcPr>
            <w:tcW w:w="1418" w:type="dxa"/>
            <w:gridSpan w:val="2"/>
            <w:vMerge w:val="restart"/>
          </w:tcPr>
          <w:p w14:paraId="7CC6F962" w14:textId="77777777" w:rsidR="004828F9" w:rsidRPr="001A28A3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  <w:p w14:paraId="785A2CAB" w14:textId="77777777" w:rsidR="004828F9" w:rsidRPr="001A28A3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367096EE" w14:textId="2FCF8537" w:rsidR="004828F9" w:rsidRPr="006951DE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Доля закупок, участниками которых являются только субъекты </w:t>
            </w:r>
            <w:r w:rsidR="004929E3">
              <w:rPr>
                <w:rFonts w:ascii="Times New Roman" w:hAnsi="Times New Roman" w:cs="Times New Roman"/>
                <w:sz w:val="24"/>
              </w:rPr>
              <w:t>малого предпринимательства</w:t>
            </w:r>
            <w:r>
              <w:rPr>
                <w:rFonts w:ascii="Times New Roman" w:hAnsi="Times New Roman" w:cs="Times New Roman"/>
                <w:sz w:val="24"/>
              </w:rPr>
              <w:t xml:space="preserve"> и социально ориентированные некоммерческие организации </w:t>
            </w:r>
          </w:p>
        </w:tc>
        <w:tc>
          <w:tcPr>
            <w:tcW w:w="1419" w:type="dxa"/>
            <w:gridSpan w:val="2"/>
            <w:vMerge w:val="restart"/>
          </w:tcPr>
          <w:p w14:paraId="185AF737" w14:textId="77777777" w:rsidR="004828F9" w:rsidRPr="00A03287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3287">
              <w:rPr>
                <w:rFonts w:ascii="Times New Roman" w:hAnsi="Times New Roman" w:cs="Times New Roman"/>
                <w:sz w:val="24"/>
              </w:rPr>
              <w:t>процентов,</w:t>
            </w:r>
          </w:p>
          <w:p w14:paraId="74CAA8C8" w14:textId="77777777" w:rsidR="004828F9" w:rsidRPr="00A03287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328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068" w:type="dxa"/>
            <w:gridSpan w:val="2"/>
            <w:vMerge w:val="restart"/>
          </w:tcPr>
          <w:p w14:paraId="1DB9FC84" w14:textId="169B325A" w:rsidR="004828F9" w:rsidRPr="00416155" w:rsidRDefault="00416155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155">
              <w:rPr>
                <w:rFonts w:ascii="Times New Roman" w:hAnsi="Times New Roman" w:cs="Times New Roman"/>
                <w:sz w:val="24"/>
              </w:rPr>
              <w:t>43,5</w:t>
            </w:r>
          </w:p>
        </w:tc>
        <w:tc>
          <w:tcPr>
            <w:tcW w:w="776" w:type="dxa"/>
            <w:gridSpan w:val="2"/>
            <w:vMerge w:val="restart"/>
          </w:tcPr>
          <w:p w14:paraId="0319112C" w14:textId="333111DE" w:rsidR="004828F9" w:rsidRPr="00416155" w:rsidRDefault="00416155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155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76" w:type="dxa"/>
            <w:gridSpan w:val="2"/>
            <w:vMerge w:val="restart"/>
          </w:tcPr>
          <w:p w14:paraId="73B487D1" w14:textId="149B060E" w:rsidR="004828F9" w:rsidRPr="00416155" w:rsidRDefault="00416155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155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80" w:type="dxa"/>
            <w:vMerge w:val="restart"/>
          </w:tcPr>
          <w:p w14:paraId="6FCB5E07" w14:textId="2D0A7BF3" w:rsidR="004828F9" w:rsidRPr="00416155" w:rsidRDefault="00416155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15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01" w:type="dxa"/>
            <w:vMerge w:val="restart"/>
          </w:tcPr>
          <w:p w14:paraId="3030C4C7" w14:textId="77777777" w:rsidR="004828F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3287">
              <w:rPr>
                <w:rFonts w:ascii="Times New Roman" w:hAnsi="Times New Roman" w:cs="Times New Roman"/>
                <w:sz w:val="24"/>
              </w:rPr>
              <w:t>От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A03287">
              <w:rPr>
                <w:rFonts w:ascii="Times New Roman" w:hAnsi="Times New Roman" w:cs="Times New Roman"/>
                <w:sz w:val="24"/>
              </w:rPr>
              <w:t>ел общего обеспечения (сектор закупок)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63B3EB64" w14:textId="77777777" w:rsidR="004828F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образования;</w:t>
            </w:r>
          </w:p>
          <w:p w14:paraId="67E3221C" w14:textId="3B767C23" w:rsidR="004828F9" w:rsidRPr="00A03287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культуры.</w:t>
            </w:r>
          </w:p>
        </w:tc>
      </w:tr>
      <w:tr w:rsidR="004828F9" w14:paraId="18EEB45F" w14:textId="77777777" w:rsidTr="00CC7A7B">
        <w:trPr>
          <w:trHeight w:val="690"/>
        </w:trPr>
        <w:tc>
          <w:tcPr>
            <w:tcW w:w="664" w:type="dxa"/>
          </w:tcPr>
          <w:p w14:paraId="1A2273FC" w14:textId="77777777" w:rsidR="004828F9" w:rsidRPr="001A28A3" w:rsidRDefault="004828F9" w:rsidP="0048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39" w:type="dxa"/>
          </w:tcPr>
          <w:p w14:paraId="36C84E35" w14:textId="1C63B922" w:rsidR="004828F9" w:rsidRPr="001A28A3" w:rsidRDefault="004828F9" w:rsidP="0048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AF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18" w:type="dxa"/>
            <w:gridSpan w:val="2"/>
            <w:vMerge/>
          </w:tcPr>
          <w:p w14:paraId="3D6D21EB" w14:textId="77777777" w:rsidR="004828F9" w:rsidRPr="001A28A3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EBB05F8" w14:textId="77777777" w:rsidR="004828F9" w:rsidRPr="006951DE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gridSpan w:val="2"/>
            <w:vMerge/>
          </w:tcPr>
          <w:p w14:paraId="07E0CD85" w14:textId="77777777" w:rsidR="004828F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gridSpan w:val="2"/>
            <w:vMerge/>
          </w:tcPr>
          <w:p w14:paraId="5639134C" w14:textId="77777777" w:rsidR="004828F9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66A63C59" w14:textId="77777777" w:rsidR="004828F9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12661833" w14:textId="77777777" w:rsidR="004828F9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0" w:type="dxa"/>
            <w:vMerge/>
          </w:tcPr>
          <w:p w14:paraId="71BB0549" w14:textId="77777777" w:rsidR="004828F9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14:paraId="2EC6BA88" w14:textId="77777777" w:rsidR="004828F9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28F9" w14:paraId="4D7F7C5D" w14:textId="77777777" w:rsidTr="00CC7A7B">
        <w:trPr>
          <w:trHeight w:val="690"/>
        </w:trPr>
        <w:tc>
          <w:tcPr>
            <w:tcW w:w="664" w:type="dxa"/>
          </w:tcPr>
          <w:p w14:paraId="188A667F" w14:textId="77777777" w:rsidR="004828F9" w:rsidRPr="001A28A3" w:rsidRDefault="004828F9" w:rsidP="0048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39" w:type="dxa"/>
          </w:tcPr>
          <w:p w14:paraId="108AE2A4" w14:textId="33C7EB0B" w:rsidR="004828F9" w:rsidRPr="001A28A3" w:rsidRDefault="004828F9" w:rsidP="0048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AF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муниципальных закупок, выработка рекомендаций по совершенствованию работы</w:t>
            </w:r>
          </w:p>
        </w:tc>
        <w:tc>
          <w:tcPr>
            <w:tcW w:w="1418" w:type="dxa"/>
            <w:gridSpan w:val="2"/>
            <w:vMerge/>
          </w:tcPr>
          <w:p w14:paraId="3B257283" w14:textId="77777777" w:rsidR="004828F9" w:rsidRPr="001A28A3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6A6E9A0" w14:textId="77777777" w:rsidR="004828F9" w:rsidRPr="006951DE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gridSpan w:val="2"/>
            <w:vMerge/>
          </w:tcPr>
          <w:p w14:paraId="6C5D7763" w14:textId="77777777" w:rsidR="004828F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gridSpan w:val="2"/>
            <w:vMerge/>
          </w:tcPr>
          <w:p w14:paraId="58BA101E" w14:textId="77777777" w:rsidR="004828F9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7509322D" w14:textId="77777777" w:rsidR="004828F9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7CD6DC09" w14:textId="77777777" w:rsidR="004828F9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0" w:type="dxa"/>
            <w:vMerge/>
          </w:tcPr>
          <w:p w14:paraId="59C4307E" w14:textId="77777777" w:rsidR="004828F9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14:paraId="568528EA" w14:textId="77777777" w:rsidR="004828F9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28F9" w14:paraId="6885765D" w14:textId="77777777" w:rsidTr="00CC7A7B">
        <w:tc>
          <w:tcPr>
            <w:tcW w:w="15876" w:type="dxa"/>
            <w:gridSpan w:val="15"/>
          </w:tcPr>
          <w:p w14:paraId="2ED2D015" w14:textId="77777777" w:rsidR="004828F9" w:rsidRPr="007E341C" w:rsidRDefault="004828F9" w:rsidP="004828F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Внедрение и развитие антимонопольного комплаенса</w:t>
            </w:r>
          </w:p>
        </w:tc>
      </w:tr>
      <w:tr w:rsidR="004828F9" w14:paraId="47E9D504" w14:textId="77777777" w:rsidTr="00CC7A7B">
        <w:tc>
          <w:tcPr>
            <w:tcW w:w="15876" w:type="dxa"/>
            <w:gridSpan w:val="15"/>
          </w:tcPr>
          <w:p w14:paraId="631ACB97" w14:textId="77777777" w:rsidR="004828F9" w:rsidRPr="008618D9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18D9">
              <w:rPr>
                <w:rFonts w:ascii="Times New Roman" w:hAnsi="Times New Roman" w:cs="Times New Roman"/>
                <w:b/>
                <w:sz w:val="24"/>
              </w:rPr>
              <w:t>Исходная (фактическая информация):</w:t>
            </w:r>
          </w:p>
          <w:p w14:paraId="5283D3DF" w14:textId="59621ECE" w:rsidR="00613F22" w:rsidRPr="00613F22" w:rsidRDefault="00613F22" w:rsidP="00613F22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3F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 январе 2019 года администрацией муниципального района утверждено Постановлением администрации МО МР «Сыктывдинский» от 24.01.2019 года № 1/66</w:t>
            </w:r>
            <w:r w:rsidR="005573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утверждено</w:t>
            </w:r>
            <w:r w:rsidRPr="00613F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положение об организации системы внутреннего обеспечения соответствия требованиям антимонопольного законодательства Российской Федерации в администрации муниципального образования муниципального района «Сыктывдинский».</w:t>
            </w:r>
          </w:p>
          <w:p w14:paraId="160138B9" w14:textId="23A1A490" w:rsidR="004828F9" w:rsidRDefault="00327F88" w:rsidP="00613F2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района подведены итоги реализации антимонопольного комплаенса в 2018 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 xml:space="preserve">году, </w:t>
            </w:r>
            <w:r w:rsidR="00D7003B" w:rsidRPr="00613F22">
              <w:rPr>
                <w:rFonts w:ascii="Times New Roman" w:hAnsi="Times New Roman" w:cs="Times New Roman"/>
                <w:bCs/>
                <w:sz w:val="24"/>
                <w:szCs w:val="24"/>
              </w:rPr>
              <w:t>фактов</w:t>
            </w:r>
            <w:r w:rsidR="00613F22" w:rsidRPr="00613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нарушения </w:t>
            </w:r>
            <w:r w:rsidR="00613F22" w:rsidRPr="00613F22">
              <w:rPr>
                <w:rFonts w:ascii="Times New Roman" w:hAnsi="Times New Roman" w:cs="Times New Roman"/>
                <w:sz w:val="24"/>
                <w:szCs w:val="24"/>
              </w:rPr>
              <w:t>требований антимонопольного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="00613F22" w:rsidRPr="00613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F22" w:rsidRPr="006621FC">
              <w:rPr>
                <w:sz w:val="24"/>
                <w:szCs w:val="24"/>
              </w:rPr>
              <w:t xml:space="preserve"> </w:t>
            </w:r>
          </w:p>
        </w:tc>
      </w:tr>
      <w:tr w:rsidR="004828F9" w14:paraId="1BB695E4" w14:textId="77777777" w:rsidTr="00CC7A7B">
        <w:tc>
          <w:tcPr>
            <w:tcW w:w="664" w:type="dxa"/>
          </w:tcPr>
          <w:p w14:paraId="709DE30D" w14:textId="77777777" w:rsidR="004828F9" w:rsidRPr="008618D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Pr="008618D9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4439" w:type="dxa"/>
          </w:tcPr>
          <w:p w14:paraId="741C5970" w14:textId="77777777" w:rsidR="004828F9" w:rsidRPr="008618D9" w:rsidRDefault="004828F9" w:rsidP="004828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утверждение постановления администрации МО МР «Сыктывдинский» о внедрении на территории муниципального образования антимонопольного комплаенса</w:t>
            </w:r>
          </w:p>
        </w:tc>
        <w:tc>
          <w:tcPr>
            <w:tcW w:w="1418" w:type="dxa"/>
            <w:gridSpan w:val="2"/>
            <w:vMerge w:val="restart"/>
          </w:tcPr>
          <w:p w14:paraId="7EA0174B" w14:textId="77777777" w:rsidR="004828F9" w:rsidRPr="008618D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  <w:p w14:paraId="5EAA90F4" w14:textId="77777777" w:rsidR="004828F9" w:rsidRPr="008618D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 w:val="restart"/>
          </w:tcPr>
          <w:p w14:paraId="5087D275" w14:textId="77777777" w:rsidR="004828F9" w:rsidRPr="008618D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нормативного правового акта об организации в муниципальном образовании системы внутреннего обеспечения соответствия требованиям антимонопольного законодательства (антимонопольного комплаенс)</w:t>
            </w:r>
          </w:p>
        </w:tc>
        <w:tc>
          <w:tcPr>
            <w:tcW w:w="1419" w:type="dxa"/>
            <w:gridSpan w:val="2"/>
            <w:vMerge w:val="restart"/>
          </w:tcPr>
          <w:p w14:paraId="05A1A8FA" w14:textId="77777777" w:rsidR="004828F9" w:rsidRPr="008618D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да/нет – 1/0</w:t>
            </w:r>
          </w:p>
        </w:tc>
        <w:tc>
          <w:tcPr>
            <w:tcW w:w="1068" w:type="dxa"/>
            <w:gridSpan w:val="2"/>
            <w:vMerge w:val="restart"/>
          </w:tcPr>
          <w:p w14:paraId="25DC2376" w14:textId="40C8319B" w:rsidR="004828F9" w:rsidRPr="008618D9" w:rsidRDefault="00613F22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gridSpan w:val="2"/>
            <w:vMerge w:val="restart"/>
          </w:tcPr>
          <w:p w14:paraId="094938E4" w14:textId="77777777" w:rsidR="004828F9" w:rsidRPr="00D35F7A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5F7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gridSpan w:val="2"/>
            <w:vMerge w:val="restart"/>
          </w:tcPr>
          <w:p w14:paraId="59184031" w14:textId="77777777" w:rsidR="004828F9" w:rsidRPr="00D35F7A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5F7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80" w:type="dxa"/>
            <w:vMerge w:val="restart"/>
          </w:tcPr>
          <w:p w14:paraId="12638EF1" w14:textId="77777777" w:rsidR="004828F9" w:rsidRPr="00D35F7A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5F7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 w:val="restart"/>
          </w:tcPr>
          <w:p w14:paraId="106F5FB0" w14:textId="77777777" w:rsidR="004828F9" w:rsidRPr="008618D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3287">
              <w:rPr>
                <w:rFonts w:ascii="Times New Roman" w:hAnsi="Times New Roman" w:cs="Times New Roman"/>
                <w:sz w:val="24"/>
              </w:rPr>
              <w:t>От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A03287">
              <w:rPr>
                <w:rFonts w:ascii="Times New Roman" w:hAnsi="Times New Roman" w:cs="Times New Roman"/>
                <w:sz w:val="24"/>
              </w:rPr>
              <w:t>ел общего обеспечения</w:t>
            </w:r>
            <w:r>
              <w:rPr>
                <w:rFonts w:ascii="Times New Roman" w:hAnsi="Times New Roman" w:cs="Times New Roman"/>
                <w:sz w:val="24"/>
              </w:rPr>
              <w:t>, правовое управление</w:t>
            </w:r>
            <w:r w:rsidRPr="00A032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828F9" w14:paraId="3B45B8C3" w14:textId="77777777" w:rsidTr="00CC7A7B">
        <w:tc>
          <w:tcPr>
            <w:tcW w:w="664" w:type="dxa"/>
          </w:tcPr>
          <w:p w14:paraId="46A11316" w14:textId="77777777" w:rsidR="004828F9" w:rsidRPr="008618D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618D9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4439" w:type="dxa"/>
          </w:tcPr>
          <w:p w14:paraId="2C6602DE" w14:textId="77777777" w:rsidR="004828F9" w:rsidRPr="006C403B" w:rsidRDefault="004828F9" w:rsidP="0048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3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мероприятий (повышение квалификации, семинары, иные мероприятия) для муниципальных служащих основам государственной политики по развитию конкуренции и антимонопольного законодательства</w:t>
            </w:r>
          </w:p>
        </w:tc>
        <w:tc>
          <w:tcPr>
            <w:tcW w:w="1418" w:type="dxa"/>
            <w:gridSpan w:val="2"/>
            <w:vMerge/>
          </w:tcPr>
          <w:p w14:paraId="6088CA40" w14:textId="77777777" w:rsidR="004828F9" w:rsidRPr="008618D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14:paraId="7AC3DDA7" w14:textId="77777777" w:rsidR="004828F9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  <w:gridSpan w:val="2"/>
            <w:vMerge/>
          </w:tcPr>
          <w:p w14:paraId="471B38CB" w14:textId="77777777" w:rsidR="004828F9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8" w:type="dxa"/>
            <w:gridSpan w:val="2"/>
            <w:vMerge/>
          </w:tcPr>
          <w:p w14:paraId="7A5E9796" w14:textId="77777777" w:rsidR="004828F9" w:rsidRPr="008618D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19EA5F83" w14:textId="77777777" w:rsidR="004828F9" w:rsidRPr="008618D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4F5EEE8B" w14:textId="77777777" w:rsidR="004828F9" w:rsidRPr="008618D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vMerge/>
          </w:tcPr>
          <w:p w14:paraId="07F22F0E" w14:textId="77777777" w:rsidR="004828F9" w:rsidRPr="008618D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7103D66B" w14:textId="77777777" w:rsidR="004828F9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28F9" w14:paraId="1FD297B8" w14:textId="77777777" w:rsidTr="00CC7A7B">
        <w:tc>
          <w:tcPr>
            <w:tcW w:w="664" w:type="dxa"/>
          </w:tcPr>
          <w:p w14:paraId="7CCDEE46" w14:textId="77777777" w:rsidR="004828F9" w:rsidRPr="008618D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4439" w:type="dxa"/>
          </w:tcPr>
          <w:p w14:paraId="033AE0AE" w14:textId="77777777" w:rsidR="004828F9" w:rsidRPr="008618D9" w:rsidRDefault="004828F9" w:rsidP="004828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ежегодного доклада об антимонопольном комплаенсе и предоставление его в Министерство экономики Республики Коми до 1 февраля года, следующего за отчетным годом</w:t>
            </w:r>
          </w:p>
        </w:tc>
        <w:tc>
          <w:tcPr>
            <w:tcW w:w="1418" w:type="dxa"/>
            <w:gridSpan w:val="2"/>
            <w:vMerge/>
          </w:tcPr>
          <w:p w14:paraId="04CA2066" w14:textId="77777777" w:rsidR="004828F9" w:rsidRPr="008618D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14:paraId="59498A79" w14:textId="77777777" w:rsidR="004828F9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  <w:gridSpan w:val="2"/>
            <w:vMerge/>
          </w:tcPr>
          <w:p w14:paraId="7552353C" w14:textId="77777777" w:rsidR="004828F9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8" w:type="dxa"/>
            <w:gridSpan w:val="2"/>
            <w:vMerge/>
          </w:tcPr>
          <w:p w14:paraId="6DD1484A" w14:textId="77777777" w:rsidR="004828F9" w:rsidRPr="008618D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10CF24B7" w14:textId="77777777" w:rsidR="004828F9" w:rsidRPr="008618D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75C02E42" w14:textId="77777777" w:rsidR="004828F9" w:rsidRPr="008618D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vMerge/>
          </w:tcPr>
          <w:p w14:paraId="68BB9981" w14:textId="77777777" w:rsidR="004828F9" w:rsidRPr="008618D9" w:rsidRDefault="004828F9" w:rsidP="004828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7FFCC9B1" w14:textId="77777777" w:rsidR="004828F9" w:rsidRDefault="004828F9" w:rsidP="0048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28F9" w14:paraId="143C7E15" w14:textId="77777777" w:rsidTr="00CC7A7B">
        <w:tc>
          <w:tcPr>
            <w:tcW w:w="15876" w:type="dxa"/>
            <w:gridSpan w:val="15"/>
          </w:tcPr>
          <w:p w14:paraId="6D13309A" w14:textId="77777777" w:rsidR="004828F9" w:rsidRPr="005A7E05" w:rsidRDefault="004828F9" w:rsidP="004828F9">
            <w:pPr>
              <w:pStyle w:val="a4"/>
              <w:numPr>
                <w:ilvl w:val="0"/>
                <w:numId w:val="3"/>
              </w:num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Рынок теплоснабжения</w:t>
            </w:r>
          </w:p>
        </w:tc>
      </w:tr>
      <w:tr w:rsidR="00D946AE" w14:paraId="0752F3DA" w14:textId="77777777" w:rsidTr="00CC7A7B">
        <w:tc>
          <w:tcPr>
            <w:tcW w:w="15876" w:type="dxa"/>
            <w:gridSpan w:val="15"/>
          </w:tcPr>
          <w:p w14:paraId="7DFE18DA" w14:textId="16E590B6" w:rsidR="00D946AE" w:rsidRPr="00B35B56" w:rsidRDefault="00322C14" w:rsidP="00D94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2396413"/>
            <w:r w:rsidRPr="00B35B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46AE" w:rsidRPr="00B35B56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46AE"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к теплоснабжения (производства тепловой энергии) 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в Сыктывдинском районе </w:t>
            </w:r>
            <w:r w:rsidR="00D946AE" w:rsidRPr="00B35B56">
              <w:rPr>
                <w:rFonts w:ascii="Times New Roman" w:hAnsi="Times New Roman" w:cs="Times New Roman"/>
                <w:sz w:val="24"/>
                <w:szCs w:val="24"/>
              </w:rPr>
              <w:t>Республики Коми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</w:t>
            </w:r>
            <w:r w:rsidR="00D946AE"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3 предприятия ООО «С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>ыктывдинская тепловая компания</w:t>
            </w:r>
            <w:r w:rsidR="00D946AE"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r w:rsidR="00D946AE"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5B7" w:rsidRPr="00B35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46AE" w:rsidRPr="00B35B56">
              <w:rPr>
                <w:rFonts w:ascii="Times New Roman" w:hAnsi="Times New Roman" w:cs="Times New Roman"/>
                <w:sz w:val="24"/>
                <w:szCs w:val="24"/>
              </w:rPr>
              <w:t>люс», МУП «Энергия»</w:t>
            </w:r>
          </w:p>
          <w:p w14:paraId="180C644D" w14:textId="2D3F0EB7" w:rsidR="00D946AE" w:rsidRDefault="00D946AE" w:rsidP="00D94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состояния конкурентной среды на рынке по итогам 2018 года показывают, что </w:t>
            </w:r>
            <w:r w:rsidR="002F7B19"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резко снизилась 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>удовлетворенность предпринимателей</w:t>
            </w:r>
            <w:r w:rsidR="002F7B19" w:rsidRPr="00B35B56">
              <w:rPr>
                <w:rFonts w:ascii="Times New Roman" w:hAnsi="Times New Roman" w:cs="Times New Roman"/>
                <w:sz w:val="24"/>
                <w:szCs w:val="24"/>
              </w:rPr>
              <w:t>, осуществляющих деятельность на территории муниципального района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теплоснабжения по всем параметрам (сроками получения доступа, простотой процедур и стоимостью подключения)</w:t>
            </w:r>
            <w:r w:rsidR="00CF12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A3B775" w14:textId="77777777" w:rsidR="00CF124A" w:rsidRDefault="0055730D" w:rsidP="0055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>удовлетворенност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>сроками получения доступа</w:t>
            </w:r>
            <w:r w:rsidR="00CF124A">
              <w:rPr>
                <w:rFonts w:ascii="Times New Roman" w:hAnsi="Times New Roman" w:cs="Times New Roman"/>
                <w:sz w:val="24"/>
                <w:szCs w:val="24"/>
              </w:rPr>
              <w:t xml:space="preserve"> к услуге 2018 – 25%, 2017- 68,9%;</w:t>
            </w:r>
          </w:p>
          <w:p w14:paraId="043FD26D" w14:textId="77777777" w:rsidR="00370929" w:rsidRDefault="00CF124A" w:rsidP="0055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>удовлетворенност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</w:t>
            </w:r>
            <w:r w:rsidR="0055730D"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простотой процедур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подключения к услуг</w:t>
            </w:r>
            <w:r w:rsidR="00370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="003709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929">
              <w:rPr>
                <w:rFonts w:ascii="Times New Roman" w:hAnsi="Times New Roman" w:cs="Times New Roman"/>
                <w:sz w:val="24"/>
                <w:szCs w:val="24"/>
              </w:rPr>
              <w:t>21,4 %, 2017 – 62,5%;</w:t>
            </w:r>
          </w:p>
          <w:p w14:paraId="5C35E2A8" w14:textId="4EEEE6FC" w:rsidR="0055730D" w:rsidRDefault="00370929" w:rsidP="0055730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>удовлетворенност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</w:t>
            </w:r>
            <w:r w:rsidR="0055730D" w:rsidRPr="00B35B56">
              <w:rPr>
                <w:rFonts w:ascii="Times New Roman" w:hAnsi="Times New Roman" w:cs="Times New Roman"/>
                <w:sz w:val="24"/>
                <w:szCs w:val="24"/>
              </w:rPr>
              <w:t>стоимостью подключения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услуге 2018 – 17,8%, 2017- 33,9%.</w:t>
            </w:r>
          </w:p>
          <w:p w14:paraId="721157BC" w14:textId="77777777" w:rsidR="0055730D" w:rsidRPr="00B35B56" w:rsidRDefault="0055730D" w:rsidP="00D94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09040" w14:textId="5AD54AA5" w:rsidR="00D946AE" w:rsidRPr="00B35B56" w:rsidRDefault="00D946AE" w:rsidP="00D94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позиции потребителей из числа населения </w:t>
            </w:r>
            <w:r w:rsidR="00B90B3F">
              <w:rPr>
                <w:rFonts w:ascii="Times New Roman" w:hAnsi="Times New Roman" w:cs="Times New Roman"/>
                <w:sz w:val="24"/>
                <w:szCs w:val="24"/>
              </w:rPr>
              <w:t>уровень удовлетворённости населения качеством предоставление услуг теплоснабжения второй год увеличивается</w:t>
            </w:r>
            <w:r w:rsidR="00B93163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B90B3F">
              <w:rPr>
                <w:rFonts w:ascii="Times New Roman" w:hAnsi="Times New Roman" w:cs="Times New Roman"/>
                <w:sz w:val="24"/>
                <w:szCs w:val="24"/>
              </w:rPr>
              <w:t xml:space="preserve"> 2018 году</w:t>
            </w:r>
            <w:r w:rsidR="00B93163"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  <w:r w:rsidR="00B90B3F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49,1 %</w:t>
            </w:r>
            <w:r w:rsidR="00FB3F21">
              <w:rPr>
                <w:rFonts w:ascii="Times New Roman" w:hAnsi="Times New Roman" w:cs="Times New Roman"/>
                <w:sz w:val="24"/>
                <w:szCs w:val="24"/>
              </w:rPr>
              <w:t xml:space="preserve">, что ниже уровня 2017 года на 22,4 </w:t>
            </w:r>
            <w:r w:rsidR="00DC2B7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DC2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5ABC85" w14:textId="0E17C4AA" w:rsidR="00D946AE" w:rsidRPr="00B35B56" w:rsidRDefault="00D946AE" w:rsidP="00D94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тепловой энергии систем децентрализованного теплоснабжения за счет их модернизации и использования возобновляемых источников энергии в</w:t>
            </w:r>
            <w:r w:rsidR="00062288" w:rsidRPr="00B35B56">
              <w:rPr>
                <w:rFonts w:ascii="Times New Roman" w:hAnsi="Times New Roman" w:cs="Times New Roman"/>
                <w:sz w:val="24"/>
                <w:szCs w:val="24"/>
              </w:rPr>
              <w:t>ойд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062288" w:rsidRPr="00B35B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в число ожидаемых результатов реализации политики в области энергетики, </w:t>
            </w:r>
            <w:r w:rsidR="00062288" w:rsidRPr="00B35B56">
              <w:rPr>
                <w:rFonts w:ascii="Times New Roman" w:hAnsi="Times New Roman" w:cs="Times New Roman"/>
                <w:sz w:val="24"/>
                <w:szCs w:val="24"/>
              </w:rPr>
              <w:t>которые будут закреплены в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35B56">
                <w:rPr>
                  <w:rFonts w:ascii="Times New Roman" w:hAnsi="Times New Roman" w:cs="Times New Roman"/>
                  <w:sz w:val="24"/>
                  <w:szCs w:val="24"/>
                </w:rPr>
                <w:t>Стратеги</w:t>
              </w:r>
              <w:r w:rsidR="00062288" w:rsidRPr="00B35B56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</w:hyperlink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</w:t>
            </w:r>
            <w:r w:rsidR="00062288" w:rsidRPr="00B35B56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2035 года.</w:t>
            </w:r>
          </w:p>
          <w:p w14:paraId="2BEE528A" w14:textId="77777777" w:rsidR="00D7003B" w:rsidRDefault="00D946AE" w:rsidP="00740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отметить, что в соответствии со </w:t>
            </w:r>
            <w:hyperlink r:id="rId9" w:history="1">
              <w:r w:rsidRPr="00B35B56">
                <w:rPr>
                  <w:rFonts w:ascii="Times New Roman" w:hAnsi="Times New Roman" w:cs="Times New Roman"/>
                  <w:sz w:val="24"/>
                  <w:szCs w:val="24"/>
                </w:rPr>
                <w:t>Стандартом</w:t>
              </w:r>
            </w:hyperlink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 в субъектах Российской Федерации, утвержденным распоряжением Правительства Российской Федерации от 17.04.2019 </w:t>
            </w:r>
            <w:r w:rsidR="00B931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768-р, требуется обеспечить минимальную долю присутствия организаций частной формы собственности </w:t>
            </w:r>
            <w:r w:rsidR="00E47F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рынк</w:t>
            </w:r>
            <w:r w:rsidR="00E47F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 до уровня 20% к 1 января 2022 года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 xml:space="preserve"> (в 2018 году доля частных предприятий составила 33,3%)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2288"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A7D1FB" w14:textId="2B307A6D" w:rsidR="00740F71" w:rsidRDefault="00062288" w:rsidP="00740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46AE"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есмотря на превышение 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организаций частной формы собственности на указанном рынке услуг, администрация</w:t>
            </w:r>
            <w:r w:rsidR="00D946AE"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B56" w:rsidRPr="00B35B5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35B56"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46AE"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проводить работу, направленную на повышение удовлетворенности потребителей качеством и доступностью услуг, контроль за уровнем цен, в т.ч. путем взаимодействия с организациями, действующими на рынке.</w:t>
            </w:r>
          </w:p>
          <w:p w14:paraId="46FF08EB" w14:textId="255A4753" w:rsidR="00D946AE" w:rsidRPr="00B35B56" w:rsidRDefault="00AE1BEC" w:rsidP="00D94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района разработаны схемы </w:t>
            </w:r>
            <w:r w:rsidR="00D946AE" w:rsidRPr="00740F71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теплоснабжения </w:t>
            </w:r>
            <w:r w:rsidRPr="00740F71">
              <w:rPr>
                <w:rFonts w:ascii="Times New Roman" w:hAnsi="Times New Roman" w:cs="Times New Roman"/>
                <w:sz w:val="24"/>
                <w:szCs w:val="24"/>
              </w:rPr>
              <w:t>в разрезе сельских поселений, которые размещены на официальном сайте администрации муниципального района в сети «Интерне»</w:t>
            </w:r>
            <w:r w:rsidR="00740F71" w:rsidRPr="00740F71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Гражданам/ЖКХ/ </w:t>
            </w:r>
            <w:hyperlink r:id="rId10" w:history="1">
              <w:r w:rsidR="00740F71" w:rsidRPr="00740F7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Ресурсоснабжающие, управляющие компании, ТСЖ</w:t>
              </w:r>
            </w:hyperlink>
            <w:r w:rsidR="00740F71" w:rsidRPr="00740F71">
              <w:rPr>
                <w:rFonts w:ascii="Times New Roman" w:hAnsi="Times New Roman" w:cs="Times New Roman"/>
                <w:sz w:val="24"/>
                <w:szCs w:val="24"/>
              </w:rPr>
              <w:t>/Схемы водоснабжения, водоотведения, теплоснабжения.</w:t>
            </w:r>
          </w:p>
          <w:p w14:paraId="4105E79A" w14:textId="77777777" w:rsidR="00D946AE" w:rsidRPr="00B35B56" w:rsidRDefault="00D946AE" w:rsidP="00D94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</w:t>
            </w:r>
          </w:p>
          <w:p w14:paraId="1A92DCAF" w14:textId="7F85BB64" w:rsidR="00D946AE" w:rsidRPr="00B35B56" w:rsidRDefault="00D946AE" w:rsidP="000622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>- обеспечен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стабильн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рост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потребителей за счет повышения доступности, качества услуг и снижения цен;</w:t>
            </w:r>
          </w:p>
          <w:p w14:paraId="59009B4E" w14:textId="25901B4F" w:rsidR="00D946AE" w:rsidRDefault="00D946AE" w:rsidP="0006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>- обеспечен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5B56">
              <w:rPr>
                <w:rFonts w:ascii="Times New Roman" w:hAnsi="Times New Roman" w:cs="Times New Roman"/>
                <w:sz w:val="24"/>
                <w:szCs w:val="24"/>
              </w:rPr>
              <w:t xml:space="preserve"> для привлечения инвестиций хозяйствующих субъектов в развитие товарных рынков</w:t>
            </w:r>
            <w:bookmarkEnd w:id="1"/>
            <w:r w:rsidR="00E6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6AE" w14:paraId="190922E6" w14:textId="77777777" w:rsidTr="00CC7A7B">
        <w:tc>
          <w:tcPr>
            <w:tcW w:w="664" w:type="dxa"/>
          </w:tcPr>
          <w:p w14:paraId="1461B6FC" w14:textId="77777777" w:rsidR="00D946AE" w:rsidRPr="008618D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8D9">
              <w:rPr>
                <w:rFonts w:ascii="Times New Roman" w:hAnsi="Times New Roman" w:cs="Times New Roman"/>
                <w:sz w:val="24"/>
              </w:rPr>
              <w:lastRenderedPageBreak/>
              <w:t>3.1</w:t>
            </w:r>
          </w:p>
        </w:tc>
        <w:tc>
          <w:tcPr>
            <w:tcW w:w="4439" w:type="dxa"/>
          </w:tcPr>
          <w:p w14:paraId="03B58B49" w14:textId="77777777" w:rsidR="00D946AE" w:rsidRPr="008618D9" w:rsidRDefault="00D946AE" w:rsidP="00D946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E7353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рекомендованного уровня ключевого показателя</w:t>
            </w:r>
          </w:p>
        </w:tc>
        <w:tc>
          <w:tcPr>
            <w:tcW w:w="1418" w:type="dxa"/>
            <w:gridSpan w:val="2"/>
            <w:vMerge w:val="restart"/>
          </w:tcPr>
          <w:p w14:paraId="66AD29A9" w14:textId="77777777" w:rsidR="00D946AE" w:rsidRPr="008618D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8D9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9-2022</w:t>
            </w:r>
          </w:p>
          <w:p w14:paraId="1C2436CD" w14:textId="77777777" w:rsidR="00D946AE" w:rsidRPr="008618D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 w:val="restart"/>
          </w:tcPr>
          <w:p w14:paraId="34571A5C" w14:textId="77777777" w:rsidR="00D946AE" w:rsidRPr="008618D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8D9">
              <w:rPr>
                <w:rFonts w:ascii="Times New Roman" w:hAnsi="Times New Roman" w:cs="Times New Roman"/>
                <w:sz w:val="24"/>
              </w:rPr>
              <w:t xml:space="preserve">доля организаций частной формы собственности </w:t>
            </w:r>
            <w:r>
              <w:rPr>
                <w:rFonts w:ascii="Times New Roman" w:hAnsi="Times New Roman" w:cs="Times New Roman"/>
                <w:sz w:val="24"/>
              </w:rPr>
              <w:t>в сфере теплоснабжения (производство тепловой энергии)</w:t>
            </w:r>
            <w:r w:rsidRPr="008618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gridSpan w:val="2"/>
            <w:vMerge w:val="restart"/>
          </w:tcPr>
          <w:p w14:paraId="0C9B04A1" w14:textId="77777777" w:rsidR="00D946AE" w:rsidRPr="008618D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8D9">
              <w:rPr>
                <w:rFonts w:ascii="Times New Roman" w:hAnsi="Times New Roman" w:cs="Times New Roman"/>
                <w:sz w:val="24"/>
              </w:rPr>
              <w:t xml:space="preserve">Проценты </w:t>
            </w:r>
          </w:p>
        </w:tc>
        <w:tc>
          <w:tcPr>
            <w:tcW w:w="1068" w:type="dxa"/>
            <w:gridSpan w:val="2"/>
            <w:vMerge w:val="restart"/>
          </w:tcPr>
          <w:p w14:paraId="320D59B9" w14:textId="65F8B1D6" w:rsidR="00D946AE" w:rsidRPr="008618D9" w:rsidRDefault="00B35B56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  <w:p w14:paraId="4537E1C1" w14:textId="77777777" w:rsidR="00D946AE" w:rsidRPr="008618D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gridSpan w:val="2"/>
            <w:vMerge w:val="restart"/>
          </w:tcPr>
          <w:p w14:paraId="0BDC70E6" w14:textId="003653AE" w:rsidR="00D946AE" w:rsidRPr="008618D9" w:rsidRDefault="00B35B56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  <w:p w14:paraId="22E3DB7B" w14:textId="77777777" w:rsidR="00D946AE" w:rsidRPr="008618D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gridSpan w:val="2"/>
            <w:vMerge w:val="restart"/>
          </w:tcPr>
          <w:p w14:paraId="1A67D2CE" w14:textId="68837285" w:rsidR="00D946AE" w:rsidRPr="008618D9" w:rsidRDefault="00B35B56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  <w:p w14:paraId="1C0EE980" w14:textId="77777777" w:rsidR="00D946AE" w:rsidRPr="008618D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vMerge w:val="restart"/>
          </w:tcPr>
          <w:p w14:paraId="0320A3FA" w14:textId="65E7B3DB" w:rsidR="00D946AE" w:rsidRPr="008618D9" w:rsidRDefault="00B35B56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  <w:p w14:paraId="163F6472" w14:textId="77777777" w:rsidR="00D946AE" w:rsidRPr="008618D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14:paraId="18FD2CDB" w14:textId="77777777" w:rsidR="00D946AE" w:rsidRPr="008618D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жилищно-коммунального хозяйства</w:t>
            </w:r>
          </w:p>
          <w:p w14:paraId="43AE83F5" w14:textId="77777777" w:rsidR="00D946AE" w:rsidRPr="008618D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6AE" w14:paraId="0C55A6A2" w14:textId="77777777" w:rsidTr="00CC7A7B">
        <w:tc>
          <w:tcPr>
            <w:tcW w:w="664" w:type="dxa"/>
          </w:tcPr>
          <w:p w14:paraId="0E8CA3AE" w14:textId="77777777" w:rsidR="00D946AE" w:rsidRPr="008618D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618D9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4439" w:type="dxa"/>
          </w:tcPr>
          <w:p w14:paraId="447000AF" w14:textId="77777777" w:rsidR="00D946AE" w:rsidRPr="003C65CF" w:rsidRDefault="00D946AE" w:rsidP="00D9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F">
              <w:rPr>
                <w:rFonts w:ascii="Times New Roman" w:hAnsi="Times New Roman" w:cs="Times New Roman"/>
                <w:color w:val="3A4256"/>
                <w:sz w:val="24"/>
                <w:szCs w:val="24"/>
                <w:shd w:val="clear" w:color="auto" w:fill="FFFFFF"/>
              </w:rPr>
              <w:t>Внесение информации, предусмотренной действующим законодательством, в ГИС ЖКХ</w:t>
            </w:r>
          </w:p>
        </w:tc>
        <w:tc>
          <w:tcPr>
            <w:tcW w:w="1418" w:type="dxa"/>
            <w:gridSpan w:val="2"/>
            <w:vMerge/>
          </w:tcPr>
          <w:p w14:paraId="17D71570" w14:textId="77777777" w:rsidR="00D946AE" w:rsidRPr="008618D9" w:rsidRDefault="00D946AE" w:rsidP="00D946AE">
            <w:pPr>
              <w:jc w:val="center"/>
            </w:pPr>
          </w:p>
        </w:tc>
        <w:tc>
          <w:tcPr>
            <w:tcW w:w="2835" w:type="dxa"/>
            <w:vMerge/>
          </w:tcPr>
          <w:p w14:paraId="315E37B0" w14:textId="77777777" w:rsidR="00D946AE" w:rsidRDefault="00D946AE" w:rsidP="00D946AE">
            <w:pPr>
              <w:jc w:val="center"/>
            </w:pPr>
          </w:p>
        </w:tc>
        <w:tc>
          <w:tcPr>
            <w:tcW w:w="1419" w:type="dxa"/>
            <w:gridSpan w:val="2"/>
            <w:vMerge/>
          </w:tcPr>
          <w:p w14:paraId="068B3827" w14:textId="77777777" w:rsidR="00D946AE" w:rsidRDefault="00D946AE" w:rsidP="00D946AE">
            <w:pPr>
              <w:jc w:val="center"/>
            </w:pPr>
          </w:p>
        </w:tc>
        <w:tc>
          <w:tcPr>
            <w:tcW w:w="1068" w:type="dxa"/>
            <w:gridSpan w:val="2"/>
            <w:vMerge/>
          </w:tcPr>
          <w:p w14:paraId="25F5E226" w14:textId="77777777" w:rsidR="00D946AE" w:rsidRPr="008618D9" w:rsidRDefault="00D946AE" w:rsidP="00D946AE">
            <w:pPr>
              <w:jc w:val="center"/>
            </w:pPr>
          </w:p>
        </w:tc>
        <w:tc>
          <w:tcPr>
            <w:tcW w:w="776" w:type="dxa"/>
            <w:gridSpan w:val="2"/>
            <w:vMerge/>
          </w:tcPr>
          <w:p w14:paraId="64F18533" w14:textId="77777777" w:rsidR="00D946AE" w:rsidRPr="008618D9" w:rsidRDefault="00D946AE" w:rsidP="00D946AE">
            <w:pPr>
              <w:jc w:val="center"/>
            </w:pPr>
          </w:p>
        </w:tc>
        <w:tc>
          <w:tcPr>
            <w:tcW w:w="776" w:type="dxa"/>
            <w:gridSpan w:val="2"/>
            <w:vMerge/>
          </w:tcPr>
          <w:p w14:paraId="208FD49D" w14:textId="77777777" w:rsidR="00D946AE" w:rsidRPr="008618D9" w:rsidRDefault="00D946AE" w:rsidP="00D946AE">
            <w:pPr>
              <w:jc w:val="center"/>
            </w:pPr>
          </w:p>
        </w:tc>
        <w:tc>
          <w:tcPr>
            <w:tcW w:w="780" w:type="dxa"/>
            <w:vMerge/>
          </w:tcPr>
          <w:p w14:paraId="48DC51C4" w14:textId="77777777" w:rsidR="00D946AE" w:rsidRPr="008618D9" w:rsidRDefault="00D946AE" w:rsidP="00D946AE">
            <w:pPr>
              <w:jc w:val="center"/>
            </w:pPr>
          </w:p>
        </w:tc>
        <w:tc>
          <w:tcPr>
            <w:tcW w:w="1701" w:type="dxa"/>
            <w:vMerge/>
          </w:tcPr>
          <w:p w14:paraId="4739B806" w14:textId="77777777" w:rsidR="00D946AE" w:rsidRDefault="00D946AE" w:rsidP="00D946AE">
            <w:pPr>
              <w:jc w:val="center"/>
            </w:pPr>
          </w:p>
        </w:tc>
      </w:tr>
      <w:tr w:rsidR="00D946AE" w14:paraId="2D0DEC1F" w14:textId="77777777" w:rsidTr="00CC7A7B">
        <w:tc>
          <w:tcPr>
            <w:tcW w:w="664" w:type="dxa"/>
          </w:tcPr>
          <w:p w14:paraId="4CE65045" w14:textId="77777777" w:rsidR="00D946AE" w:rsidRPr="000924EC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4439" w:type="dxa"/>
          </w:tcPr>
          <w:p w14:paraId="3AA2427B" w14:textId="77777777" w:rsidR="00D946AE" w:rsidRPr="003C65CF" w:rsidRDefault="00D946AE" w:rsidP="00D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F">
              <w:rPr>
                <w:rFonts w:ascii="Times New Roman" w:hAnsi="Times New Roman" w:cs="Times New Roman"/>
                <w:color w:val="3A4256"/>
                <w:sz w:val="24"/>
                <w:szCs w:val="24"/>
                <w:shd w:val="clear" w:color="auto" w:fill="FFFFFF"/>
              </w:rPr>
              <w:t>Передача органами местного самоуправления в концессию объектов коммунальной инфраструктуры, в том числе объектов теплоснабжения</w:t>
            </w:r>
          </w:p>
        </w:tc>
        <w:tc>
          <w:tcPr>
            <w:tcW w:w="1418" w:type="dxa"/>
            <w:gridSpan w:val="2"/>
            <w:vMerge/>
          </w:tcPr>
          <w:p w14:paraId="7DDD333C" w14:textId="77777777" w:rsidR="00D946AE" w:rsidRDefault="00D946AE" w:rsidP="00D946AE">
            <w:pPr>
              <w:jc w:val="center"/>
            </w:pPr>
          </w:p>
        </w:tc>
        <w:tc>
          <w:tcPr>
            <w:tcW w:w="2835" w:type="dxa"/>
            <w:vMerge/>
          </w:tcPr>
          <w:p w14:paraId="2A037ABC" w14:textId="77777777" w:rsidR="00D946AE" w:rsidRDefault="00D946AE" w:rsidP="00D946AE">
            <w:pPr>
              <w:jc w:val="center"/>
            </w:pPr>
          </w:p>
        </w:tc>
        <w:tc>
          <w:tcPr>
            <w:tcW w:w="1419" w:type="dxa"/>
            <w:gridSpan w:val="2"/>
            <w:vMerge/>
          </w:tcPr>
          <w:p w14:paraId="6288548A" w14:textId="77777777" w:rsidR="00D946AE" w:rsidRDefault="00D946AE" w:rsidP="00D946AE">
            <w:pPr>
              <w:jc w:val="center"/>
            </w:pPr>
          </w:p>
        </w:tc>
        <w:tc>
          <w:tcPr>
            <w:tcW w:w="1068" w:type="dxa"/>
            <w:gridSpan w:val="2"/>
            <w:vMerge/>
          </w:tcPr>
          <w:p w14:paraId="23200E99" w14:textId="77777777" w:rsidR="00D946AE" w:rsidRDefault="00D946AE" w:rsidP="00D946AE">
            <w:pPr>
              <w:jc w:val="center"/>
            </w:pPr>
          </w:p>
        </w:tc>
        <w:tc>
          <w:tcPr>
            <w:tcW w:w="776" w:type="dxa"/>
            <w:gridSpan w:val="2"/>
            <w:vMerge/>
          </w:tcPr>
          <w:p w14:paraId="1FDCBC9B" w14:textId="77777777" w:rsidR="00D946AE" w:rsidRDefault="00D946AE" w:rsidP="00D946AE">
            <w:pPr>
              <w:jc w:val="center"/>
            </w:pPr>
          </w:p>
        </w:tc>
        <w:tc>
          <w:tcPr>
            <w:tcW w:w="776" w:type="dxa"/>
            <w:gridSpan w:val="2"/>
            <w:vMerge/>
          </w:tcPr>
          <w:p w14:paraId="723C428C" w14:textId="77777777" w:rsidR="00D946AE" w:rsidRDefault="00D946AE" w:rsidP="00D946AE">
            <w:pPr>
              <w:jc w:val="center"/>
            </w:pPr>
          </w:p>
        </w:tc>
        <w:tc>
          <w:tcPr>
            <w:tcW w:w="780" w:type="dxa"/>
            <w:vMerge/>
          </w:tcPr>
          <w:p w14:paraId="0CD1F690" w14:textId="77777777" w:rsidR="00D946AE" w:rsidRDefault="00D946AE" w:rsidP="00D946AE">
            <w:pPr>
              <w:jc w:val="center"/>
            </w:pPr>
          </w:p>
        </w:tc>
        <w:tc>
          <w:tcPr>
            <w:tcW w:w="1701" w:type="dxa"/>
            <w:vMerge/>
          </w:tcPr>
          <w:p w14:paraId="6DECB5F8" w14:textId="77777777" w:rsidR="00D946AE" w:rsidRDefault="00D946AE" w:rsidP="00D946AE">
            <w:pPr>
              <w:jc w:val="center"/>
            </w:pPr>
          </w:p>
        </w:tc>
      </w:tr>
      <w:tr w:rsidR="00D946AE" w14:paraId="4339B416" w14:textId="77777777" w:rsidTr="00CC7A7B">
        <w:tc>
          <w:tcPr>
            <w:tcW w:w="15876" w:type="dxa"/>
            <w:gridSpan w:val="15"/>
          </w:tcPr>
          <w:p w14:paraId="0A283303" w14:textId="77777777" w:rsidR="00D946AE" w:rsidRPr="006951DE" w:rsidRDefault="00D946AE" w:rsidP="00D946AE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951DE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D946AE" w14:paraId="2F592913" w14:textId="77777777" w:rsidTr="00CC7A7B">
        <w:tc>
          <w:tcPr>
            <w:tcW w:w="15876" w:type="dxa"/>
            <w:gridSpan w:val="15"/>
          </w:tcPr>
          <w:p w14:paraId="17BE7A19" w14:textId="1C4B771F" w:rsidR="00D946AE" w:rsidRDefault="00D946AE" w:rsidP="00D946A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состоянию на 01.</w:t>
            </w:r>
            <w:r w:rsidR="00E6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 г.</w:t>
            </w:r>
            <w:r w:rsidRPr="00F6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Сыктывдинского района</w:t>
            </w:r>
            <w:r w:rsidRPr="00F6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функционируют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6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  <w:r w:rsidRPr="00F6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реализующи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6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дошкольного образования,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которые посещают </w:t>
            </w:r>
            <w:r w:rsidR="00E6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дошкольного возраста </w:t>
            </w:r>
            <w:r w:rsidRPr="00F6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17 организаций, 1455 детей). Ежегодный рост рождаемости обуславливает востребованность услуг дошкольного образования. В Сыктывдинском районе обеспечена 100% доступность дошкольного образования для детей в возрасте от 3-х лет и старше, вместе с тем актуальной остаётся проблема обеспеченности местами детей раннего возраста до 3-х лет (на сегодняшний день доступность дошкольного образования на территории Сыктывдинского района по данным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Федеральной информационной системы доступности дошкольного образования составляет 96,33%). Решение проблемы возможно путём создания новых мест для детей дошкольного возраста, в т.ч. за счёт развития частных детских садов.</w:t>
            </w:r>
          </w:p>
          <w:p w14:paraId="16258FC5" w14:textId="0C059D42" w:rsidR="00FB3F21" w:rsidRDefault="00FB3F21" w:rsidP="00D946A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итогам 2018 года наблюдается значительное снижения уровня удовлетворённости населения качеством, ценами и выбором услуг в сфере дошкольного образования: </w:t>
            </w:r>
          </w:p>
          <w:p w14:paraId="5FC91EEC" w14:textId="45060B66" w:rsidR="00FB3F21" w:rsidRPr="005308F6" w:rsidRDefault="00FB3F21" w:rsidP="00D946A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8F6">
              <w:rPr>
                <w:rFonts w:ascii="Times New Roman" w:hAnsi="Times New Roman"/>
                <w:sz w:val="24"/>
                <w:szCs w:val="24"/>
              </w:rPr>
              <w:t>- уровень удовлетворенности уровн</w:t>
            </w:r>
            <w:r w:rsidR="005308F6" w:rsidRPr="005308F6">
              <w:rPr>
                <w:rFonts w:ascii="Times New Roman" w:hAnsi="Times New Roman"/>
                <w:sz w:val="24"/>
                <w:szCs w:val="24"/>
              </w:rPr>
              <w:t>е</w:t>
            </w:r>
            <w:r w:rsidRPr="005308F6">
              <w:rPr>
                <w:rFonts w:ascii="Times New Roman" w:hAnsi="Times New Roman"/>
                <w:sz w:val="24"/>
                <w:szCs w:val="24"/>
              </w:rPr>
              <w:t>м цен на услуги в сфере дошкольного образования по итогам 2018 года составил 12,6% от числа опрошенных</w:t>
            </w:r>
            <w:r w:rsidR="005308F6" w:rsidRPr="005308F6">
              <w:rPr>
                <w:rFonts w:ascii="Times New Roman" w:hAnsi="Times New Roman"/>
                <w:sz w:val="24"/>
                <w:szCs w:val="24"/>
              </w:rPr>
              <w:t>,</w:t>
            </w:r>
            <w:r w:rsidRPr="00530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8F6" w:rsidRPr="005308F6">
              <w:rPr>
                <w:rFonts w:ascii="Times New Roman" w:hAnsi="Times New Roman"/>
                <w:sz w:val="24"/>
                <w:szCs w:val="24"/>
              </w:rPr>
              <w:t>ч</w:t>
            </w:r>
            <w:r w:rsidRPr="005308F6">
              <w:rPr>
                <w:rFonts w:ascii="Times New Roman" w:hAnsi="Times New Roman"/>
                <w:sz w:val="24"/>
                <w:szCs w:val="24"/>
              </w:rPr>
              <w:t>то ниже уровня</w:t>
            </w:r>
            <w:r w:rsidR="005308F6" w:rsidRPr="005308F6">
              <w:rPr>
                <w:rFonts w:ascii="Times New Roman" w:hAnsi="Times New Roman"/>
                <w:sz w:val="24"/>
                <w:szCs w:val="24"/>
              </w:rPr>
              <w:t xml:space="preserve"> 2017 года на 9,4 пункта (22,0%);</w:t>
            </w:r>
          </w:p>
          <w:p w14:paraId="34162E03" w14:textId="2295610B" w:rsidR="00A30628" w:rsidRPr="005308F6" w:rsidRDefault="005308F6" w:rsidP="00D946A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="00A30628" w:rsidRPr="00530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ровень удовлетворенности населения качеством дошкольного образования в 2018 году составил </w:t>
            </w:r>
            <w:r w:rsidRPr="00530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  <w:r w:rsidR="00A30628" w:rsidRPr="00530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530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2017 году данный показатель составил 39,4% от числа опрошенных;</w:t>
            </w:r>
          </w:p>
          <w:p w14:paraId="57B89A11" w14:textId="73264632" w:rsidR="005308F6" w:rsidRPr="005308F6" w:rsidRDefault="005308F6" w:rsidP="00D946A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уровень </w:t>
            </w:r>
            <w:r w:rsidRPr="005308F6">
              <w:rPr>
                <w:rFonts w:ascii="Times New Roman" w:hAnsi="Times New Roman"/>
                <w:sz w:val="24"/>
                <w:szCs w:val="24"/>
              </w:rPr>
              <w:t>удовлетворенности выбором услуг в сфере дошкольного образования в 2108 году составил 17,9%, что ниже уровня 2017 года на 1,8 пункта (19,7%).</w:t>
            </w:r>
          </w:p>
          <w:p w14:paraId="07E9BD29" w14:textId="77777777" w:rsidR="00740F71" w:rsidRPr="00740F71" w:rsidRDefault="00D946AE" w:rsidP="00D946A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71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показатель к 2022 году: </w:t>
            </w:r>
          </w:p>
          <w:p w14:paraId="62199F09" w14:textId="06A16CB8" w:rsidR="00740F71" w:rsidRPr="00740F71" w:rsidRDefault="00740F71" w:rsidP="00D946A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71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="00D946AE" w:rsidRPr="00740F71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740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46AE" w:rsidRPr="00740F7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 </w:t>
            </w:r>
            <w:r w:rsidRPr="00740F7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946AE" w:rsidRPr="00740F71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  <w:r w:rsidR="002B3C78">
              <w:rPr>
                <w:rFonts w:ascii="Times New Roman" w:hAnsi="Times New Roman" w:cs="Times New Roman"/>
                <w:sz w:val="24"/>
                <w:szCs w:val="24"/>
              </w:rPr>
              <w:t xml:space="preserve"> или 12 мест</w:t>
            </w:r>
            <w:r w:rsidRPr="00740F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DD3F6D" w14:textId="6AF24A01" w:rsidR="00740F71" w:rsidRPr="00740F71" w:rsidRDefault="00740F71" w:rsidP="00740F71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71">
              <w:rPr>
                <w:rFonts w:ascii="Times New Roman" w:hAnsi="Times New Roman" w:cs="Times New Roman"/>
                <w:sz w:val="24"/>
                <w:szCs w:val="24"/>
              </w:rPr>
              <w:t>- обеспечен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40F71">
              <w:rPr>
                <w:rFonts w:ascii="Times New Roman" w:hAnsi="Times New Roman" w:cs="Times New Roman"/>
                <w:sz w:val="24"/>
                <w:szCs w:val="24"/>
              </w:rPr>
              <w:t xml:space="preserve"> стабильн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40F71">
              <w:rPr>
                <w:rFonts w:ascii="Times New Roman" w:hAnsi="Times New Roman" w:cs="Times New Roman"/>
                <w:sz w:val="24"/>
                <w:szCs w:val="24"/>
              </w:rPr>
              <w:t xml:space="preserve"> рост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F7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потребителей за счет повышения доступности, качества услуг;</w:t>
            </w:r>
          </w:p>
          <w:p w14:paraId="015EDD37" w14:textId="124709B6" w:rsidR="00D946AE" w:rsidRPr="00CC7A7B" w:rsidRDefault="00740F71" w:rsidP="00740F71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F71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организаций частной формы собственности, предоставляющих услуги дошкольного образования не менее</w:t>
            </w:r>
            <w:r w:rsidR="00D946AE" w:rsidRPr="00740F71">
              <w:rPr>
                <w:rFonts w:ascii="Times New Roman" w:hAnsi="Times New Roman" w:cs="Times New Roman"/>
                <w:sz w:val="24"/>
                <w:szCs w:val="24"/>
              </w:rPr>
              <w:t xml:space="preserve"> 1 организаци</w:t>
            </w:r>
            <w:r w:rsidRPr="00740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46AE" w:rsidRPr="00740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4C3" w14:paraId="24B4A8EF" w14:textId="77777777" w:rsidTr="00CC7A7B">
        <w:tc>
          <w:tcPr>
            <w:tcW w:w="664" w:type="dxa"/>
          </w:tcPr>
          <w:p w14:paraId="0A898A2F" w14:textId="77777777" w:rsidR="00B704C3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4.1</w:t>
            </w:r>
          </w:p>
        </w:tc>
        <w:tc>
          <w:tcPr>
            <w:tcW w:w="4439" w:type="dxa"/>
          </w:tcPr>
          <w:p w14:paraId="5986E89B" w14:textId="77777777" w:rsidR="00B704C3" w:rsidRDefault="00B704C3" w:rsidP="00D946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субсидирования организаций, реализующих программы дошкольного образования, из бюджета субъекта Российской Федерации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  <w:p w14:paraId="279654FE" w14:textId="77777777" w:rsidR="00B704C3" w:rsidRDefault="00B704C3" w:rsidP="00D946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14:paraId="4D476BCA" w14:textId="77777777" w:rsidR="00B704C3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2835" w:type="dxa"/>
            <w:vMerge w:val="restart"/>
          </w:tcPr>
          <w:p w14:paraId="47FF0437" w14:textId="77777777" w:rsidR="00B704C3" w:rsidRDefault="00B704C3" w:rsidP="00D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 - образовательные программы дошкольного образования, в общей численности обучающихся дошкольного возраста в образовательных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419" w:type="dxa"/>
            <w:gridSpan w:val="2"/>
            <w:vMerge w:val="restart"/>
          </w:tcPr>
          <w:p w14:paraId="1D519809" w14:textId="77777777" w:rsidR="00B704C3" w:rsidRDefault="00B704C3" w:rsidP="00D946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Проценты</w:t>
            </w:r>
          </w:p>
        </w:tc>
        <w:tc>
          <w:tcPr>
            <w:tcW w:w="1068" w:type="dxa"/>
            <w:gridSpan w:val="2"/>
            <w:vMerge w:val="restart"/>
          </w:tcPr>
          <w:p w14:paraId="5E4253E1" w14:textId="77777777" w:rsidR="00B704C3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6" w:type="dxa"/>
            <w:gridSpan w:val="2"/>
            <w:vMerge w:val="restart"/>
          </w:tcPr>
          <w:p w14:paraId="3198CAF0" w14:textId="77777777" w:rsidR="00B704C3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6" w:type="dxa"/>
            <w:gridSpan w:val="2"/>
            <w:vMerge w:val="restart"/>
          </w:tcPr>
          <w:p w14:paraId="4DAE17C1" w14:textId="5856CFA6" w:rsidR="00B704C3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2B3C7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80" w:type="dxa"/>
            <w:vMerge w:val="restart"/>
          </w:tcPr>
          <w:p w14:paraId="2AD2144B" w14:textId="5AC80F19" w:rsidR="00B704C3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</w:t>
            </w:r>
          </w:p>
        </w:tc>
        <w:tc>
          <w:tcPr>
            <w:tcW w:w="1701" w:type="dxa"/>
            <w:vMerge w:val="restart"/>
          </w:tcPr>
          <w:p w14:paraId="5861382B" w14:textId="77777777" w:rsidR="00B704C3" w:rsidRPr="00576C29" w:rsidRDefault="00B704C3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704C3" w14:paraId="23B1EAEF" w14:textId="77777777" w:rsidTr="00CC7A7B">
        <w:tc>
          <w:tcPr>
            <w:tcW w:w="664" w:type="dxa"/>
          </w:tcPr>
          <w:p w14:paraId="41C18E19" w14:textId="77777777" w:rsidR="00B704C3" w:rsidRPr="006951DE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4439" w:type="dxa"/>
          </w:tcPr>
          <w:p w14:paraId="3975348B" w14:textId="77777777" w:rsidR="00B704C3" w:rsidRDefault="00B704C3" w:rsidP="00D946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ведение открытого реестра выданных муниципальных преференций дошкольным образовательным организациям.</w:t>
            </w:r>
          </w:p>
          <w:p w14:paraId="606D7BB5" w14:textId="77777777" w:rsidR="00B704C3" w:rsidRPr="006951DE" w:rsidRDefault="00B704C3" w:rsidP="00D946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14:paraId="632FA5F8" w14:textId="77777777" w:rsidR="00B704C3" w:rsidRPr="006951DE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2835" w:type="dxa"/>
            <w:vMerge/>
            <w:vAlign w:val="center"/>
          </w:tcPr>
          <w:p w14:paraId="35FF056B" w14:textId="77777777" w:rsidR="00B704C3" w:rsidRPr="006951DE" w:rsidRDefault="00B704C3" w:rsidP="00D946AE">
            <w:pPr>
              <w:jc w:val="center"/>
            </w:pPr>
          </w:p>
        </w:tc>
        <w:tc>
          <w:tcPr>
            <w:tcW w:w="1419" w:type="dxa"/>
            <w:gridSpan w:val="2"/>
            <w:vMerge/>
          </w:tcPr>
          <w:p w14:paraId="137FAA0C" w14:textId="77777777" w:rsidR="00B704C3" w:rsidRPr="006951DE" w:rsidRDefault="00B704C3" w:rsidP="00D946AE">
            <w:pPr>
              <w:jc w:val="center"/>
            </w:pPr>
          </w:p>
        </w:tc>
        <w:tc>
          <w:tcPr>
            <w:tcW w:w="1068" w:type="dxa"/>
            <w:gridSpan w:val="2"/>
            <w:vMerge/>
          </w:tcPr>
          <w:p w14:paraId="23AB4F79" w14:textId="77777777" w:rsidR="00B704C3" w:rsidRPr="006951DE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7E14A8E0" w14:textId="77777777" w:rsidR="00B704C3" w:rsidRPr="006951DE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799F83FF" w14:textId="77777777" w:rsidR="00B704C3" w:rsidRPr="006951DE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vMerge/>
          </w:tcPr>
          <w:p w14:paraId="7797B9C1" w14:textId="77777777" w:rsidR="00B704C3" w:rsidRPr="006951DE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12BE2584" w14:textId="77777777" w:rsidR="00B704C3" w:rsidRDefault="00B704C3" w:rsidP="00D946AE">
            <w:pPr>
              <w:jc w:val="center"/>
            </w:pPr>
          </w:p>
        </w:tc>
      </w:tr>
      <w:tr w:rsidR="00B704C3" w14:paraId="25E7CB15" w14:textId="77777777" w:rsidTr="00B704C3">
        <w:tc>
          <w:tcPr>
            <w:tcW w:w="664" w:type="dxa"/>
          </w:tcPr>
          <w:p w14:paraId="7B8E8C37" w14:textId="77777777" w:rsidR="00B704C3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4439" w:type="dxa"/>
          </w:tcPr>
          <w:p w14:paraId="26A61F6E" w14:textId="77777777" w:rsidR="00B704C3" w:rsidRDefault="00B704C3" w:rsidP="00D9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льготной 50% ставки налога на имущество негосударственным организациям, реализующим программы дошкольного образования.</w:t>
            </w:r>
          </w:p>
          <w:p w14:paraId="4E1085C5" w14:textId="77777777" w:rsidR="00B704C3" w:rsidRPr="00EC5FC2" w:rsidRDefault="00B704C3" w:rsidP="00D946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14:paraId="6AE8A2FE" w14:textId="77777777" w:rsidR="00B704C3" w:rsidRPr="006951DE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2835" w:type="dxa"/>
            <w:vMerge w:val="restart"/>
          </w:tcPr>
          <w:p w14:paraId="79C1CE99" w14:textId="4FD6B780" w:rsidR="00B704C3" w:rsidRPr="006951DE" w:rsidRDefault="00B704C3" w:rsidP="00B704C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0F71">
              <w:rPr>
                <w:rFonts w:ascii="Times New Roman" w:hAnsi="Times New Roman" w:cs="Times New Roman"/>
                <w:sz w:val="24"/>
                <w:szCs w:val="24"/>
              </w:rPr>
              <w:t>оличества организаций частной формы собственности, предоставляющих услуги дошкольного образования</w:t>
            </w:r>
          </w:p>
        </w:tc>
        <w:tc>
          <w:tcPr>
            <w:tcW w:w="1419" w:type="dxa"/>
            <w:gridSpan w:val="2"/>
            <w:vMerge w:val="restart"/>
          </w:tcPr>
          <w:p w14:paraId="1B1FCC2E" w14:textId="7B4A8356" w:rsidR="00B704C3" w:rsidRPr="006951DE" w:rsidRDefault="00B704C3" w:rsidP="00D946AE">
            <w:pPr>
              <w:jc w:val="center"/>
            </w:pPr>
            <w:r>
              <w:t>0</w:t>
            </w:r>
          </w:p>
        </w:tc>
        <w:tc>
          <w:tcPr>
            <w:tcW w:w="1068" w:type="dxa"/>
            <w:gridSpan w:val="2"/>
            <w:vMerge w:val="restart"/>
          </w:tcPr>
          <w:p w14:paraId="2DE8B949" w14:textId="749D7246" w:rsidR="00B704C3" w:rsidRPr="006951DE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6" w:type="dxa"/>
            <w:gridSpan w:val="2"/>
            <w:vMerge w:val="restart"/>
          </w:tcPr>
          <w:p w14:paraId="5418DE50" w14:textId="503166E4" w:rsidR="00B704C3" w:rsidRPr="006951DE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6" w:type="dxa"/>
            <w:gridSpan w:val="2"/>
            <w:vMerge w:val="restart"/>
          </w:tcPr>
          <w:p w14:paraId="59159720" w14:textId="12451E36" w:rsidR="00B704C3" w:rsidRPr="006951DE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80" w:type="dxa"/>
            <w:vMerge w:val="restart"/>
          </w:tcPr>
          <w:p w14:paraId="2C538E54" w14:textId="00A4A7E2" w:rsidR="00B704C3" w:rsidRPr="006951DE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Merge w:val="restart"/>
          </w:tcPr>
          <w:p w14:paraId="1C87EEFB" w14:textId="3942BBF5" w:rsidR="00B704C3" w:rsidRDefault="00B704C3" w:rsidP="00D946AE">
            <w:pPr>
              <w:jc w:val="center"/>
            </w:pPr>
            <w:r w:rsidRPr="00576C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704C3" w14:paraId="13331271" w14:textId="77777777" w:rsidTr="00CC7A7B">
        <w:tc>
          <w:tcPr>
            <w:tcW w:w="664" w:type="dxa"/>
          </w:tcPr>
          <w:p w14:paraId="4866AB70" w14:textId="77777777" w:rsidR="00B704C3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4439" w:type="dxa"/>
          </w:tcPr>
          <w:p w14:paraId="25CBB41E" w14:textId="77777777" w:rsidR="00B704C3" w:rsidRPr="0064648E" w:rsidRDefault="00B704C3" w:rsidP="00D9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мероприятий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созданию новых мест в организациях, предоставляющих услуги дошкольного образования, включая негосударственные организации, а также мест в группах кратковременного пребывания детей.</w:t>
            </w:r>
          </w:p>
        </w:tc>
        <w:tc>
          <w:tcPr>
            <w:tcW w:w="1418" w:type="dxa"/>
            <w:gridSpan w:val="2"/>
          </w:tcPr>
          <w:p w14:paraId="12C9A0DE" w14:textId="77777777" w:rsidR="00B704C3" w:rsidRPr="006951DE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2835" w:type="dxa"/>
            <w:vMerge/>
            <w:vAlign w:val="center"/>
          </w:tcPr>
          <w:p w14:paraId="5C2D2071" w14:textId="77777777" w:rsidR="00B704C3" w:rsidRPr="006951DE" w:rsidRDefault="00B704C3" w:rsidP="00D946AE">
            <w:pPr>
              <w:jc w:val="center"/>
            </w:pPr>
          </w:p>
        </w:tc>
        <w:tc>
          <w:tcPr>
            <w:tcW w:w="1419" w:type="dxa"/>
            <w:gridSpan w:val="2"/>
            <w:vMerge/>
          </w:tcPr>
          <w:p w14:paraId="4A4266F1" w14:textId="77777777" w:rsidR="00B704C3" w:rsidRPr="006951DE" w:rsidRDefault="00B704C3" w:rsidP="00D946AE">
            <w:pPr>
              <w:jc w:val="center"/>
            </w:pPr>
          </w:p>
        </w:tc>
        <w:tc>
          <w:tcPr>
            <w:tcW w:w="1068" w:type="dxa"/>
            <w:gridSpan w:val="2"/>
            <w:vMerge/>
          </w:tcPr>
          <w:p w14:paraId="707407DC" w14:textId="77777777" w:rsidR="00B704C3" w:rsidRPr="006951DE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2E5E7ABC" w14:textId="77777777" w:rsidR="00B704C3" w:rsidRPr="006951DE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799742DA" w14:textId="77777777" w:rsidR="00B704C3" w:rsidRPr="006951DE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vMerge/>
          </w:tcPr>
          <w:p w14:paraId="3AECAD1E" w14:textId="77777777" w:rsidR="00B704C3" w:rsidRPr="006951DE" w:rsidRDefault="00B704C3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24BA1E8F" w14:textId="77777777" w:rsidR="00B704C3" w:rsidRDefault="00B704C3" w:rsidP="00D946AE">
            <w:pPr>
              <w:jc w:val="center"/>
            </w:pPr>
          </w:p>
        </w:tc>
      </w:tr>
      <w:tr w:rsidR="00D946AE" w14:paraId="1322A863" w14:textId="77777777" w:rsidTr="00CC7A7B">
        <w:tc>
          <w:tcPr>
            <w:tcW w:w="15876" w:type="dxa"/>
            <w:gridSpan w:val="15"/>
          </w:tcPr>
          <w:p w14:paraId="29573F43" w14:textId="77777777" w:rsidR="00D946AE" w:rsidRPr="006951DE" w:rsidRDefault="00D946AE" w:rsidP="00D946AE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9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общего образования</w:t>
            </w:r>
          </w:p>
        </w:tc>
      </w:tr>
      <w:tr w:rsidR="00D946AE" w14:paraId="68DC4C29" w14:textId="77777777" w:rsidTr="00CC7A7B">
        <w:tc>
          <w:tcPr>
            <w:tcW w:w="15876" w:type="dxa"/>
            <w:gridSpan w:val="15"/>
          </w:tcPr>
          <w:p w14:paraId="33A29689" w14:textId="7F41BBC7" w:rsidR="00D946AE" w:rsidRDefault="00D946AE" w:rsidP="00D946AE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</w:t>
            </w:r>
            <w:r w:rsidRPr="002F4E59">
              <w:rPr>
                <w:rFonts w:ascii="Times New Roman" w:hAnsi="Times New Roman" w:cs="Times New Roman"/>
                <w:sz w:val="24"/>
              </w:rPr>
              <w:t xml:space="preserve"> территории Сыктывдинского района функционируют 12 муниципальных общеобразовательных организаций, реализующих программы начального общего, основного общего и среднего общего образования, которые посещают 28</w:t>
            </w:r>
            <w:r w:rsidR="00153CED">
              <w:rPr>
                <w:rFonts w:ascii="Times New Roman" w:hAnsi="Times New Roman" w:cs="Times New Roman"/>
                <w:sz w:val="24"/>
              </w:rPr>
              <w:t>24</w:t>
            </w:r>
            <w:r w:rsidRPr="002F4E59">
              <w:rPr>
                <w:rFonts w:ascii="Times New Roman" w:hAnsi="Times New Roman" w:cs="Times New Roman"/>
                <w:sz w:val="24"/>
              </w:rPr>
              <w:t xml:space="preserve"> учащихся в</w:t>
            </w:r>
            <w:r w:rsidR="00153CE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4E59">
              <w:rPr>
                <w:rFonts w:ascii="Times New Roman" w:hAnsi="Times New Roman" w:cs="Times New Roman"/>
                <w:sz w:val="24"/>
              </w:rPr>
              <w:t xml:space="preserve">2017 год </w:t>
            </w:r>
            <w:r w:rsidR="00153CED">
              <w:rPr>
                <w:rFonts w:ascii="Times New Roman" w:hAnsi="Times New Roman" w:cs="Times New Roman"/>
                <w:sz w:val="24"/>
              </w:rPr>
              <w:t>число учащихся составляло</w:t>
            </w:r>
            <w:r w:rsidRPr="002F4E59">
              <w:rPr>
                <w:rFonts w:ascii="Times New Roman" w:hAnsi="Times New Roman" w:cs="Times New Roman"/>
                <w:sz w:val="24"/>
              </w:rPr>
              <w:t xml:space="preserve"> 2746 детей. Ежегодно рост количества учащихся возрастает, это связано с миграционным процессом в Сыктывдинский район с районов республики, а также из других регионов. Отслеживается нехватка мест в школы с. Выльгорт. Основными задачами рынка услуг общего образования  - это управление качеством по результатам мониторинга результатов внутренней и внешней системы оценки качества, качественная реализация и создание условий основных образовательных программ всех уровней и программ развития, реализация национального проекта «Образование» и республиканской программы «Десятилетие детства». </w:t>
            </w:r>
          </w:p>
          <w:p w14:paraId="2F4C5886" w14:textId="77777777" w:rsidR="00B13ECF" w:rsidRDefault="00D946AE" w:rsidP="00D946AE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CC7A7B">
              <w:rPr>
                <w:rFonts w:ascii="Times New Roman" w:hAnsi="Times New Roman" w:cs="Times New Roman"/>
                <w:sz w:val="24"/>
              </w:rPr>
              <w:t xml:space="preserve">Частных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 на территории МО МР «Сыктывдинский» отсутствуют. </w:t>
            </w:r>
          </w:p>
          <w:p w14:paraId="7F75E4ED" w14:textId="3340ABE2" w:rsidR="00D946AE" w:rsidRPr="00B13ECF" w:rsidRDefault="00B13ECF" w:rsidP="00D946AE">
            <w:pPr>
              <w:ind w:firstLine="601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B13ECF">
              <w:rPr>
                <w:rFonts w:ascii="Times New Roman" w:hAnsi="Times New Roman" w:cs="Times New Roman"/>
                <w:bCs/>
                <w:iCs/>
                <w:sz w:val="24"/>
              </w:rPr>
              <w:t>Уровень удовлетворенности населения качеством общего (школьного) образования</w:t>
            </w:r>
            <w:r w:rsidR="00D946AE" w:rsidRPr="00B13ECF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по итогам 2018 года составил 83,8 %, что ниже уровня 2017 года на 5,7 пунктов (2017 – 89,5%)</w:t>
            </w:r>
          </w:p>
        </w:tc>
      </w:tr>
      <w:tr w:rsidR="00D946AE" w14:paraId="1136028A" w14:textId="77777777" w:rsidTr="00CC7A7B">
        <w:tc>
          <w:tcPr>
            <w:tcW w:w="664" w:type="dxa"/>
          </w:tcPr>
          <w:p w14:paraId="6662A8AB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5.1</w:t>
            </w:r>
          </w:p>
        </w:tc>
        <w:tc>
          <w:tcPr>
            <w:tcW w:w="4439" w:type="dxa"/>
          </w:tcPr>
          <w:p w14:paraId="71ED97E9" w14:textId="77777777" w:rsidR="00D946AE" w:rsidRDefault="00D946AE" w:rsidP="00D946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ведение открытого реестра выданных муниципальных преференций организациям, оказывающим услуги общего образования</w:t>
            </w:r>
          </w:p>
        </w:tc>
        <w:tc>
          <w:tcPr>
            <w:tcW w:w="1418" w:type="dxa"/>
            <w:gridSpan w:val="2"/>
            <w:vMerge w:val="restart"/>
          </w:tcPr>
          <w:p w14:paraId="42E9C626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  <w:p w14:paraId="1D636710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 w:val="restart"/>
          </w:tcPr>
          <w:p w14:paraId="00A24B8B" w14:textId="4A4C4D81" w:rsidR="00D946AE" w:rsidRPr="00740F71" w:rsidRDefault="00D946AE" w:rsidP="0074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419" w:type="dxa"/>
            <w:gridSpan w:val="2"/>
            <w:vMerge w:val="restart"/>
          </w:tcPr>
          <w:p w14:paraId="6D38D189" w14:textId="77777777" w:rsidR="00D946AE" w:rsidRDefault="00D946AE" w:rsidP="00D946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068" w:type="dxa"/>
            <w:gridSpan w:val="2"/>
            <w:vMerge w:val="restart"/>
          </w:tcPr>
          <w:p w14:paraId="37CB5DE5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6" w:type="dxa"/>
            <w:gridSpan w:val="2"/>
            <w:vMerge w:val="restart"/>
          </w:tcPr>
          <w:p w14:paraId="0FDDF994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6" w:type="dxa"/>
            <w:gridSpan w:val="2"/>
            <w:vMerge w:val="restart"/>
          </w:tcPr>
          <w:p w14:paraId="51BC5F02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0" w:type="dxa"/>
            <w:vMerge w:val="restart"/>
          </w:tcPr>
          <w:p w14:paraId="4295AB10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vMerge w:val="restart"/>
          </w:tcPr>
          <w:p w14:paraId="02D06EC4" w14:textId="77777777" w:rsidR="00D946AE" w:rsidRPr="00576C2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946AE" w14:paraId="2E908287" w14:textId="77777777" w:rsidTr="00CC7A7B">
        <w:tc>
          <w:tcPr>
            <w:tcW w:w="664" w:type="dxa"/>
          </w:tcPr>
          <w:p w14:paraId="600C177D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4439" w:type="dxa"/>
          </w:tcPr>
          <w:p w14:paraId="4AEDFF76" w14:textId="77777777" w:rsidR="00D946AE" w:rsidRDefault="00D946AE" w:rsidP="00D946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частных образовательных учреждений к получению грантов</w:t>
            </w:r>
          </w:p>
        </w:tc>
        <w:tc>
          <w:tcPr>
            <w:tcW w:w="1418" w:type="dxa"/>
            <w:gridSpan w:val="2"/>
            <w:vMerge/>
          </w:tcPr>
          <w:p w14:paraId="276E1EAC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14:paraId="469B66EE" w14:textId="77777777" w:rsidR="00D946AE" w:rsidRDefault="00D946AE" w:rsidP="00D946AE">
            <w:pPr>
              <w:jc w:val="center"/>
            </w:pPr>
          </w:p>
        </w:tc>
        <w:tc>
          <w:tcPr>
            <w:tcW w:w="1419" w:type="dxa"/>
            <w:gridSpan w:val="2"/>
            <w:vMerge/>
          </w:tcPr>
          <w:p w14:paraId="52C88603" w14:textId="77777777" w:rsidR="00D946AE" w:rsidRDefault="00D946AE" w:rsidP="00D946AE">
            <w:pPr>
              <w:jc w:val="center"/>
            </w:pPr>
          </w:p>
        </w:tc>
        <w:tc>
          <w:tcPr>
            <w:tcW w:w="1068" w:type="dxa"/>
            <w:gridSpan w:val="2"/>
            <w:vMerge/>
          </w:tcPr>
          <w:p w14:paraId="71C9FADA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6CA96E42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3AF7DDED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vMerge/>
          </w:tcPr>
          <w:p w14:paraId="5209A1FE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56985F65" w14:textId="77777777" w:rsidR="00D946AE" w:rsidRDefault="00D946AE" w:rsidP="00D946AE">
            <w:pPr>
              <w:jc w:val="center"/>
            </w:pPr>
          </w:p>
        </w:tc>
      </w:tr>
      <w:tr w:rsidR="00D946AE" w14:paraId="1CE8A249" w14:textId="77777777" w:rsidTr="00CC7A7B">
        <w:tc>
          <w:tcPr>
            <w:tcW w:w="15876" w:type="dxa"/>
            <w:gridSpan w:val="15"/>
          </w:tcPr>
          <w:p w14:paraId="78EC50E7" w14:textId="77777777" w:rsidR="00D946AE" w:rsidRPr="006951DE" w:rsidRDefault="00D946AE" w:rsidP="00D946AE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9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D946AE" w14:paraId="718E469D" w14:textId="77777777" w:rsidTr="00CC7A7B">
        <w:tc>
          <w:tcPr>
            <w:tcW w:w="15876" w:type="dxa"/>
            <w:gridSpan w:val="15"/>
          </w:tcPr>
          <w:p w14:paraId="23A68172" w14:textId="1B7D7684" w:rsidR="00D946AE" w:rsidRPr="00CC7A7B" w:rsidRDefault="00D946AE" w:rsidP="00D946A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7B">
              <w:rPr>
                <w:rFonts w:ascii="Times New Roman" w:hAnsi="Times New Roman" w:cs="Times New Roman"/>
                <w:sz w:val="24"/>
                <w:szCs w:val="24"/>
              </w:rPr>
              <w:t>За последние годы численность детского населения в Сыктывдинском районе растет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A7B">
              <w:rPr>
                <w:rFonts w:ascii="Times New Roman" w:hAnsi="Times New Roman" w:cs="Times New Roman"/>
                <w:sz w:val="24"/>
                <w:szCs w:val="24"/>
              </w:rPr>
              <w:t xml:space="preserve"> 2017 году детей в возрасте от 5 до 18 лет насчитывалось – 3 870 человек, в 2018 – 3 984 детей.</w:t>
            </w:r>
          </w:p>
          <w:p w14:paraId="45C0AB5C" w14:textId="77777777" w:rsidR="00D946AE" w:rsidRPr="00CC7A7B" w:rsidRDefault="00D946AE" w:rsidP="00D946AE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системой дополнительного образования Указами Президента РФ, ПП «Доступное дополнительное образование для детей», федеральный проект «Успех каждого ребенка» поставлена задача увеличения охвата детей в возрасте от 5 до 18 лет, </w:t>
            </w:r>
            <w:r w:rsidRPr="00CC7A7B">
              <w:rPr>
                <w:rFonts w:ascii="Times New Roman" w:hAnsi="Times New Roman" w:cs="Times New Roman"/>
                <w:sz w:val="24"/>
                <w:szCs w:val="24"/>
              </w:rPr>
              <w:t>обучающихся по дополнительным программам</w:t>
            </w:r>
            <w:r w:rsidRPr="00CC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70–75% к 2020 г., а к 2024 г. – до 80%. </w:t>
            </w:r>
          </w:p>
          <w:p w14:paraId="0B7AC410" w14:textId="09E7CE7C" w:rsidR="00D946AE" w:rsidRPr="00CC7A7B" w:rsidRDefault="00A14307" w:rsidP="00D946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A3">
              <w:rPr>
                <w:rFonts w:ascii="Times New Roman" w:hAnsi="Times New Roman" w:cs="Times New Roman"/>
                <w:sz w:val="24"/>
                <w:szCs w:val="24"/>
              </w:rPr>
              <w:t>Общий охват услугами дополнительного образования по состоянию на 1 января 2019 года составил 2 510 человек от 5 до 18 лет – 63%.</w:t>
            </w:r>
            <w:r w:rsidR="00D946AE" w:rsidRPr="00CC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6AE" w:rsidRPr="00CC7A7B">
              <w:rPr>
                <w:rFonts w:ascii="Times New Roman" w:hAnsi="Times New Roman" w:cs="Times New Roman"/>
                <w:i/>
                <w:sz w:val="24"/>
                <w:szCs w:val="24"/>
              </w:rPr>
              <w:t>Для сравнения</w:t>
            </w:r>
            <w:r w:rsidR="00D946AE" w:rsidRPr="00CC7A7B">
              <w:rPr>
                <w:rFonts w:ascii="Times New Roman" w:hAnsi="Times New Roman" w:cs="Times New Roman"/>
                <w:sz w:val="24"/>
                <w:szCs w:val="24"/>
              </w:rPr>
              <w:t xml:space="preserve">: в 2016 г.  </w:t>
            </w:r>
            <w:r w:rsidR="00D946AE" w:rsidRPr="00CC7A7B">
              <w:rPr>
                <w:rFonts w:ascii="Times New Roman" w:eastAsia="Arial Unicode MS" w:hAnsi="Times New Roman" w:cs="Times New Roman"/>
                <w:sz w:val="24"/>
                <w:szCs w:val="24"/>
              </w:rPr>
              <w:t>охват</w:t>
            </w:r>
            <w:r w:rsidR="00D946AE" w:rsidRPr="00CC7A7B">
              <w:rPr>
                <w:rFonts w:ascii="Times New Roman" w:hAnsi="Times New Roman" w:cs="Times New Roman"/>
                <w:sz w:val="24"/>
                <w:szCs w:val="24"/>
              </w:rPr>
              <w:t xml:space="preserve"> – 62,1%, в 2017 г. – 67,2%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38037B" w14:textId="77777777" w:rsidR="00A14307" w:rsidRDefault="00A14307" w:rsidP="00D946A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уменьшение показателя с 67,2% до 63,0% повлияли следующие факторы:  </w:t>
            </w:r>
          </w:p>
          <w:p w14:paraId="324358B0" w14:textId="77777777" w:rsidR="00A14307" w:rsidRDefault="00A14307" w:rsidP="00D946A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пересмотр программы дополнительного образования в школах, а именно: было принято решение разграничить программы дополнительного образования и курсов в неурочной деятельности;  </w:t>
            </w:r>
          </w:p>
          <w:p w14:paraId="1DB91F02" w14:textId="6D4683CC" w:rsidR="00A14307" w:rsidRDefault="00A14307" w:rsidP="00D946A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 учет детей, получающих услуги по дополнительному образованию, стал вестись через портал персонифицированного дополнительного образования Республики Коми, в результате учет данной категории детей стал более точным; </w:t>
            </w:r>
          </w:p>
          <w:p w14:paraId="08CF693C" w14:textId="77777777" w:rsidR="00A14307" w:rsidRDefault="00A14307" w:rsidP="00D946A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посещение детьми учреждений дополнительного образования, расположенных в г. Сыктывкаре, которые не учитываются при подсчёте показателя; </w:t>
            </w:r>
          </w:p>
          <w:p w14:paraId="7FC052E7" w14:textId="1804DF31" w:rsidR="00D946AE" w:rsidRDefault="00A14307" w:rsidP="00D946A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ежегодно увеличивается численность детского населения в районе на 150-200 чел.</w:t>
            </w:r>
          </w:p>
          <w:p w14:paraId="3354A60F" w14:textId="62002D68" w:rsidR="00037D8D" w:rsidRPr="001B640B" w:rsidRDefault="00037D8D" w:rsidP="00D946A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40B">
              <w:rPr>
                <w:rFonts w:ascii="Times New Roman" w:hAnsi="Times New Roman"/>
                <w:sz w:val="24"/>
                <w:szCs w:val="24"/>
              </w:rPr>
              <w:t xml:space="preserve">По итогам 2018 года наблюдается </w:t>
            </w:r>
            <w:r w:rsidR="00153CED" w:rsidRPr="001B640B">
              <w:rPr>
                <w:rFonts w:ascii="Times New Roman" w:hAnsi="Times New Roman"/>
                <w:sz w:val="24"/>
                <w:szCs w:val="24"/>
              </w:rPr>
              <w:t>снижения доли граждан,</w:t>
            </w:r>
            <w:r w:rsidRPr="001B640B">
              <w:rPr>
                <w:rFonts w:ascii="Times New Roman" w:hAnsi="Times New Roman"/>
                <w:sz w:val="24"/>
                <w:szCs w:val="24"/>
              </w:rPr>
              <w:t xml:space="preserve"> удовлетворённых качеством предоставления услуг в сфере дополнительного образования, а также </w:t>
            </w:r>
            <w:r w:rsidR="00153CED" w:rsidRPr="001B640B">
              <w:rPr>
                <w:rFonts w:ascii="Times New Roman" w:hAnsi="Times New Roman"/>
                <w:sz w:val="24"/>
                <w:szCs w:val="24"/>
              </w:rPr>
              <w:t>наблюдается снижения удовлетворённости граждан стоимость предоставления услуг и выборам организации, их оказывающих.</w:t>
            </w:r>
            <w:r w:rsidRPr="001B6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6F0C18" w14:textId="356A5D81" w:rsidR="00037D8D" w:rsidRPr="001B640B" w:rsidRDefault="00037D8D" w:rsidP="00D946A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40B">
              <w:rPr>
                <w:rFonts w:ascii="Times New Roman" w:hAnsi="Times New Roman"/>
                <w:sz w:val="24"/>
                <w:szCs w:val="24"/>
              </w:rPr>
              <w:t>- у</w:t>
            </w:r>
            <w:r w:rsidR="0001384E" w:rsidRPr="001B640B">
              <w:rPr>
                <w:rFonts w:ascii="Times New Roman" w:hAnsi="Times New Roman"/>
                <w:sz w:val="24"/>
                <w:szCs w:val="24"/>
              </w:rPr>
              <w:t>ровень удовлетворённости уровнем цен на услуги в сфере дополнительного образования снизился по итогам 2018 года на</w:t>
            </w:r>
            <w:r w:rsidRPr="001B640B">
              <w:rPr>
                <w:rFonts w:ascii="Times New Roman" w:hAnsi="Times New Roman"/>
                <w:sz w:val="24"/>
                <w:szCs w:val="24"/>
              </w:rPr>
              <w:t xml:space="preserve"> 8,8 пунктов и составил 14,7%, в 2017 году </w:t>
            </w:r>
            <w:r w:rsidR="00153CED" w:rsidRPr="001B640B">
              <w:rPr>
                <w:rFonts w:ascii="Times New Roman" w:hAnsi="Times New Roman"/>
                <w:sz w:val="24"/>
                <w:szCs w:val="24"/>
              </w:rPr>
              <w:t>- 23</w:t>
            </w:r>
            <w:r w:rsidRPr="001B640B">
              <w:rPr>
                <w:rFonts w:ascii="Times New Roman" w:hAnsi="Times New Roman"/>
                <w:sz w:val="24"/>
                <w:szCs w:val="24"/>
              </w:rPr>
              <w:t>,5%;</w:t>
            </w:r>
          </w:p>
          <w:p w14:paraId="7A442BD5" w14:textId="2101090F" w:rsidR="00037D8D" w:rsidRPr="001B640B" w:rsidRDefault="00037D8D" w:rsidP="00D946A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40B">
              <w:rPr>
                <w:rFonts w:ascii="Times New Roman" w:hAnsi="Times New Roman"/>
                <w:sz w:val="24"/>
                <w:szCs w:val="24"/>
              </w:rPr>
              <w:t xml:space="preserve">- уровень удовлетворенности качеством услуг в сфере дополнительного образования </w:t>
            </w:r>
            <w:r w:rsidR="00153CED" w:rsidRPr="001B640B"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Pr="001B640B">
              <w:rPr>
                <w:rFonts w:ascii="Times New Roman" w:hAnsi="Times New Roman"/>
                <w:sz w:val="24"/>
                <w:szCs w:val="24"/>
              </w:rPr>
              <w:t>2018 год</w:t>
            </w:r>
            <w:r w:rsidR="00153CED" w:rsidRPr="001B640B">
              <w:rPr>
                <w:rFonts w:ascii="Times New Roman" w:hAnsi="Times New Roman"/>
                <w:sz w:val="24"/>
                <w:szCs w:val="24"/>
              </w:rPr>
              <w:t xml:space="preserve">а - </w:t>
            </w:r>
            <w:r w:rsidRPr="001B640B">
              <w:rPr>
                <w:rFonts w:ascii="Times New Roman" w:hAnsi="Times New Roman"/>
                <w:sz w:val="24"/>
                <w:szCs w:val="24"/>
              </w:rPr>
              <w:t>20,0</w:t>
            </w:r>
            <w:r w:rsidR="00153CED" w:rsidRPr="001B640B">
              <w:rPr>
                <w:rFonts w:ascii="Times New Roman" w:hAnsi="Times New Roman"/>
                <w:sz w:val="24"/>
                <w:szCs w:val="24"/>
              </w:rPr>
              <w:t xml:space="preserve">%, </w:t>
            </w:r>
            <w:r w:rsidRPr="001B640B">
              <w:rPr>
                <w:rFonts w:ascii="Times New Roman" w:hAnsi="Times New Roman"/>
                <w:sz w:val="24"/>
                <w:szCs w:val="24"/>
              </w:rPr>
              <w:t>2017</w:t>
            </w:r>
            <w:r w:rsidR="00153CED" w:rsidRPr="001B640B">
              <w:rPr>
                <w:rFonts w:ascii="Times New Roman" w:hAnsi="Times New Roman"/>
                <w:sz w:val="24"/>
                <w:szCs w:val="24"/>
              </w:rPr>
              <w:t xml:space="preserve"> года -</w:t>
            </w:r>
            <w:r w:rsidRPr="001B640B">
              <w:rPr>
                <w:rFonts w:ascii="Times New Roman" w:hAnsi="Times New Roman"/>
                <w:sz w:val="24"/>
                <w:szCs w:val="24"/>
              </w:rPr>
              <w:t xml:space="preserve"> 33,3</w:t>
            </w:r>
            <w:r w:rsidR="00153CED" w:rsidRPr="001B640B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14:paraId="0DF31DB7" w14:textId="141DDF46" w:rsidR="00A14307" w:rsidRPr="001B640B" w:rsidRDefault="00037D8D" w:rsidP="00D946A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40B">
              <w:rPr>
                <w:rFonts w:ascii="Times New Roman" w:hAnsi="Times New Roman"/>
                <w:sz w:val="24"/>
                <w:szCs w:val="24"/>
              </w:rPr>
              <w:t xml:space="preserve">- уровень удовлетворенности возможностью выбора услуг в сфере дополнительного </w:t>
            </w:r>
            <w:r w:rsidR="00153CED" w:rsidRPr="001B640B">
              <w:rPr>
                <w:rFonts w:ascii="Times New Roman" w:hAnsi="Times New Roman"/>
                <w:sz w:val="24"/>
                <w:szCs w:val="24"/>
              </w:rPr>
              <w:t xml:space="preserve">по итогам 2018 год - </w:t>
            </w:r>
            <w:r w:rsidRPr="001B640B">
              <w:rPr>
                <w:rFonts w:ascii="Times New Roman" w:hAnsi="Times New Roman"/>
                <w:sz w:val="24"/>
                <w:szCs w:val="24"/>
              </w:rPr>
              <w:t>15,8</w:t>
            </w:r>
            <w:r w:rsidR="00153CED" w:rsidRPr="001B640B">
              <w:rPr>
                <w:rFonts w:ascii="Times New Roman" w:hAnsi="Times New Roman"/>
                <w:sz w:val="24"/>
                <w:szCs w:val="24"/>
              </w:rPr>
              <w:t>%, 2017 года -</w:t>
            </w:r>
            <w:r w:rsidRPr="001B640B">
              <w:rPr>
                <w:rFonts w:ascii="Times New Roman" w:hAnsi="Times New Roman"/>
                <w:sz w:val="24"/>
                <w:szCs w:val="24"/>
              </w:rPr>
              <w:t xml:space="preserve"> 25,0</w:t>
            </w:r>
            <w:r w:rsidR="00153CED" w:rsidRPr="001B640B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14:paraId="103977DC" w14:textId="6F73F2AE" w:rsidR="00D946AE" w:rsidRPr="001B640B" w:rsidRDefault="001B640B" w:rsidP="00D946A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  <w:r w:rsidR="00D946AE" w:rsidRPr="001B64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B7E3DB" w14:textId="1AD19283" w:rsidR="00D946AE" w:rsidRPr="001B640B" w:rsidRDefault="001B640B" w:rsidP="00D946AE">
            <w:pPr>
              <w:pStyle w:val="a4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46AE" w:rsidRPr="001B640B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46AE" w:rsidRPr="001B640B">
              <w:rPr>
                <w:rFonts w:ascii="Times New Roman" w:hAnsi="Times New Roman" w:cs="Times New Roman"/>
                <w:sz w:val="24"/>
                <w:szCs w:val="24"/>
              </w:rPr>
              <w:t xml:space="preserve"> охвата обучающихся программами ДО;</w:t>
            </w:r>
          </w:p>
          <w:p w14:paraId="34ACED20" w14:textId="663CE371" w:rsidR="00D946AE" w:rsidRPr="001B640B" w:rsidRDefault="00831FAC" w:rsidP="00D946AE">
            <w:pPr>
              <w:pStyle w:val="a4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</w:t>
            </w: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хват детей сертификатами персонифицированного дополнительного образования из числа детей, занимающихся по программам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98%</w:t>
            </w:r>
            <w:r w:rsidR="00D946AE" w:rsidRPr="001B64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B3C4B2" w14:textId="72F65DB7" w:rsidR="00D946AE" w:rsidRPr="001B640B" w:rsidRDefault="00D946AE" w:rsidP="00D946AE">
            <w:pPr>
              <w:pStyle w:val="a4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40B">
              <w:rPr>
                <w:rFonts w:ascii="Times New Roman" w:hAnsi="Times New Roman" w:cs="Times New Roman"/>
                <w:sz w:val="24"/>
                <w:szCs w:val="24"/>
              </w:rPr>
              <w:t>Расши</w:t>
            </w:r>
            <w:r w:rsidR="00831FAC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r w:rsidRPr="001B640B">
              <w:rPr>
                <w:rFonts w:ascii="Times New Roman" w:hAnsi="Times New Roman" w:cs="Times New Roman"/>
                <w:sz w:val="24"/>
                <w:szCs w:val="24"/>
              </w:rPr>
              <w:t xml:space="preserve"> спектр</w:t>
            </w:r>
            <w:r w:rsidR="00831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40B">
              <w:rPr>
                <w:rFonts w:ascii="Times New Roman" w:hAnsi="Times New Roman" w:cs="Times New Roman"/>
                <w:sz w:val="24"/>
                <w:szCs w:val="24"/>
              </w:rPr>
              <w:t xml:space="preserve"> платных дополнительных общеразвивающих программ;</w:t>
            </w:r>
          </w:p>
          <w:p w14:paraId="198DD76E" w14:textId="20131A87" w:rsidR="00D946AE" w:rsidRPr="00CC7A7B" w:rsidRDefault="00831FAC" w:rsidP="00D946AE">
            <w:pPr>
              <w:pStyle w:val="a4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0"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навигатора дополнительного образования детей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6AE" w14:paraId="31DFA4A2" w14:textId="77777777" w:rsidTr="00CC7A7B">
        <w:tc>
          <w:tcPr>
            <w:tcW w:w="664" w:type="dxa"/>
          </w:tcPr>
          <w:p w14:paraId="7A37E2F4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6.1</w:t>
            </w:r>
          </w:p>
        </w:tc>
        <w:tc>
          <w:tcPr>
            <w:tcW w:w="4439" w:type="dxa"/>
          </w:tcPr>
          <w:p w14:paraId="4D0A9676" w14:textId="77777777" w:rsidR="00D946AE" w:rsidRDefault="00D946AE" w:rsidP="00D946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418" w:type="dxa"/>
            <w:gridSpan w:val="2"/>
          </w:tcPr>
          <w:p w14:paraId="2A3B1565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2835" w:type="dxa"/>
          </w:tcPr>
          <w:p w14:paraId="37B08614" w14:textId="77777777" w:rsidR="00D946AE" w:rsidRDefault="00D946AE" w:rsidP="00D946A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419" w:type="dxa"/>
            <w:gridSpan w:val="2"/>
          </w:tcPr>
          <w:p w14:paraId="0A148490" w14:textId="77777777" w:rsidR="00D946AE" w:rsidRDefault="00D946AE" w:rsidP="00D946A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068" w:type="dxa"/>
            <w:gridSpan w:val="2"/>
          </w:tcPr>
          <w:p w14:paraId="502E2CE0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6" w:type="dxa"/>
            <w:gridSpan w:val="2"/>
          </w:tcPr>
          <w:p w14:paraId="167C7FCB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6" w:type="dxa"/>
            <w:gridSpan w:val="2"/>
          </w:tcPr>
          <w:p w14:paraId="413F503C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0" w:type="dxa"/>
          </w:tcPr>
          <w:p w14:paraId="34F5DE32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vMerge w:val="restart"/>
          </w:tcPr>
          <w:p w14:paraId="5759FA2E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946AE" w14:paraId="1F8A10BB" w14:textId="77777777" w:rsidTr="00CC7A7B">
        <w:tc>
          <w:tcPr>
            <w:tcW w:w="664" w:type="dxa"/>
          </w:tcPr>
          <w:p w14:paraId="6BBBA03C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4439" w:type="dxa"/>
          </w:tcPr>
          <w:p w14:paraId="17FEFF48" w14:textId="77777777" w:rsidR="00D946AE" w:rsidRDefault="00D946AE" w:rsidP="00D946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</w:t>
            </w:r>
          </w:p>
        </w:tc>
        <w:tc>
          <w:tcPr>
            <w:tcW w:w="1418" w:type="dxa"/>
            <w:gridSpan w:val="2"/>
          </w:tcPr>
          <w:p w14:paraId="2C942CC6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2835" w:type="dxa"/>
          </w:tcPr>
          <w:p w14:paraId="4B866392" w14:textId="77777777" w:rsidR="00D946AE" w:rsidRDefault="00D946AE" w:rsidP="00D946AE">
            <w:pPr>
              <w:jc w:val="center"/>
            </w:pPr>
          </w:p>
        </w:tc>
        <w:tc>
          <w:tcPr>
            <w:tcW w:w="1419" w:type="dxa"/>
            <w:gridSpan w:val="2"/>
          </w:tcPr>
          <w:p w14:paraId="7DA6C85A" w14:textId="77777777" w:rsidR="00D946AE" w:rsidRDefault="00D946AE" w:rsidP="00D946AE">
            <w:pPr>
              <w:jc w:val="center"/>
            </w:pPr>
            <w:r>
              <w:t>0</w:t>
            </w:r>
          </w:p>
        </w:tc>
        <w:tc>
          <w:tcPr>
            <w:tcW w:w="1068" w:type="dxa"/>
            <w:gridSpan w:val="2"/>
          </w:tcPr>
          <w:p w14:paraId="02612F9E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6" w:type="dxa"/>
            <w:gridSpan w:val="2"/>
          </w:tcPr>
          <w:p w14:paraId="656C6AE1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6" w:type="dxa"/>
            <w:gridSpan w:val="2"/>
          </w:tcPr>
          <w:p w14:paraId="0B4D3992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0" w:type="dxa"/>
          </w:tcPr>
          <w:p w14:paraId="2CA65BE0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vMerge/>
          </w:tcPr>
          <w:p w14:paraId="051F5EF2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AE" w14:paraId="260C5030" w14:textId="77777777" w:rsidTr="00CC7A7B">
        <w:tc>
          <w:tcPr>
            <w:tcW w:w="664" w:type="dxa"/>
          </w:tcPr>
          <w:p w14:paraId="0EB08CDC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4439" w:type="dxa"/>
          </w:tcPr>
          <w:p w14:paraId="26188CDF" w14:textId="77777777" w:rsidR="00D946AE" w:rsidRDefault="00D946AE" w:rsidP="00D9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организаций, осуществляющих обучение, о мерах поддержки реализации программ дополнительного образования детей</w:t>
            </w:r>
          </w:p>
        </w:tc>
        <w:tc>
          <w:tcPr>
            <w:tcW w:w="1418" w:type="dxa"/>
            <w:gridSpan w:val="2"/>
          </w:tcPr>
          <w:p w14:paraId="16E0FC4A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2835" w:type="dxa"/>
          </w:tcPr>
          <w:p w14:paraId="503B5BFA" w14:textId="77777777" w:rsidR="00D946AE" w:rsidRPr="00F61A7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 линии», размещение информации на сайте управления образования</w:t>
            </w:r>
          </w:p>
        </w:tc>
        <w:tc>
          <w:tcPr>
            <w:tcW w:w="1419" w:type="dxa"/>
            <w:gridSpan w:val="2"/>
          </w:tcPr>
          <w:p w14:paraId="10446F66" w14:textId="77777777" w:rsidR="00D946AE" w:rsidRPr="00F61A7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068" w:type="dxa"/>
            <w:gridSpan w:val="2"/>
          </w:tcPr>
          <w:p w14:paraId="2C724CE9" w14:textId="77777777" w:rsidR="00D946AE" w:rsidRPr="00F61A7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</w:tcPr>
          <w:p w14:paraId="37FD4A9B" w14:textId="77777777" w:rsidR="00D946AE" w:rsidRPr="00F61A79" w:rsidRDefault="00D946AE" w:rsidP="00D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</w:tcPr>
          <w:p w14:paraId="0B23EC7C" w14:textId="77777777" w:rsidR="00D946AE" w:rsidRPr="00F61A79" w:rsidRDefault="00D946AE" w:rsidP="00D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</w:tcPr>
          <w:p w14:paraId="7C341228" w14:textId="77777777" w:rsidR="00D946AE" w:rsidRPr="00F61A79" w:rsidRDefault="00D946AE" w:rsidP="00D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74A982D0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946AE" w14:paraId="2CAEB250" w14:textId="77777777" w:rsidTr="00CC7A7B">
        <w:tc>
          <w:tcPr>
            <w:tcW w:w="664" w:type="dxa"/>
            <w:vMerge w:val="restart"/>
          </w:tcPr>
          <w:p w14:paraId="416D0732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6.4</w:t>
            </w:r>
          </w:p>
        </w:tc>
        <w:tc>
          <w:tcPr>
            <w:tcW w:w="4439" w:type="dxa"/>
            <w:vMerge w:val="restart"/>
          </w:tcPr>
          <w:p w14:paraId="0EB9E721" w14:textId="77777777" w:rsidR="00D946AE" w:rsidRDefault="00D946AE" w:rsidP="00D9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общедоступного навигатора по дополнительным общеобразовательным программам</w:t>
            </w:r>
          </w:p>
        </w:tc>
        <w:tc>
          <w:tcPr>
            <w:tcW w:w="1418" w:type="dxa"/>
            <w:gridSpan w:val="2"/>
            <w:vMerge w:val="restart"/>
          </w:tcPr>
          <w:p w14:paraId="0CE487ED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2835" w:type="dxa"/>
          </w:tcPr>
          <w:p w14:paraId="363F45A5" w14:textId="77777777" w:rsidR="00D946AE" w:rsidRPr="00F61A7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разработка и распространение навигатора дополнительного образования детей района </w:t>
            </w:r>
          </w:p>
        </w:tc>
        <w:tc>
          <w:tcPr>
            <w:tcW w:w="1419" w:type="dxa"/>
            <w:gridSpan w:val="2"/>
          </w:tcPr>
          <w:p w14:paraId="345FADC6" w14:textId="77777777" w:rsidR="00D946AE" w:rsidRPr="00F61A7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068" w:type="dxa"/>
            <w:gridSpan w:val="2"/>
          </w:tcPr>
          <w:p w14:paraId="559A4ECF" w14:textId="77777777" w:rsidR="00D946AE" w:rsidRPr="00F61A7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</w:tcPr>
          <w:p w14:paraId="1BCE38CA" w14:textId="77777777" w:rsidR="00D946AE" w:rsidRPr="00F61A79" w:rsidRDefault="00D946AE" w:rsidP="00D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</w:tcPr>
          <w:p w14:paraId="51654BD6" w14:textId="77777777" w:rsidR="00D946AE" w:rsidRPr="00F61A79" w:rsidRDefault="00D946AE" w:rsidP="00D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</w:tcPr>
          <w:p w14:paraId="361B4242" w14:textId="77777777" w:rsidR="00D946AE" w:rsidRPr="00F61A79" w:rsidRDefault="00D946AE" w:rsidP="00D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4EC9BEEF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управление культуры </w:t>
            </w:r>
          </w:p>
        </w:tc>
      </w:tr>
      <w:tr w:rsidR="00D946AE" w14:paraId="2ACB081E" w14:textId="77777777" w:rsidTr="00CC7A7B">
        <w:tc>
          <w:tcPr>
            <w:tcW w:w="664" w:type="dxa"/>
            <w:vMerge/>
            <w:vAlign w:val="center"/>
          </w:tcPr>
          <w:p w14:paraId="44FB7896" w14:textId="77777777" w:rsidR="00D946AE" w:rsidRDefault="00D946AE" w:rsidP="00D946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9" w:type="dxa"/>
            <w:vMerge/>
            <w:vAlign w:val="center"/>
          </w:tcPr>
          <w:p w14:paraId="7E4DDDF1" w14:textId="77777777" w:rsidR="00D946AE" w:rsidRDefault="00D946AE" w:rsidP="00D9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0C486363" w14:textId="77777777" w:rsidR="00D946AE" w:rsidRDefault="00D946AE" w:rsidP="00D946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501971C1" w14:textId="77777777" w:rsidR="00D946AE" w:rsidRPr="00F61A7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Включение программ дополнительного образования в систему ПФДО</w:t>
            </w:r>
          </w:p>
        </w:tc>
        <w:tc>
          <w:tcPr>
            <w:tcW w:w="1419" w:type="dxa"/>
            <w:gridSpan w:val="2"/>
          </w:tcPr>
          <w:p w14:paraId="7B2DDA11" w14:textId="77777777" w:rsidR="00D946AE" w:rsidRPr="00F61A7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68" w:type="dxa"/>
            <w:gridSpan w:val="2"/>
          </w:tcPr>
          <w:p w14:paraId="2913C007" w14:textId="77777777" w:rsidR="00D946AE" w:rsidRPr="00F61A7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97,3%</w:t>
            </w:r>
          </w:p>
        </w:tc>
        <w:tc>
          <w:tcPr>
            <w:tcW w:w="776" w:type="dxa"/>
            <w:gridSpan w:val="2"/>
          </w:tcPr>
          <w:p w14:paraId="75BA9E23" w14:textId="77777777" w:rsidR="00D946AE" w:rsidRPr="00F61A7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gridSpan w:val="2"/>
          </w:tcPr>
          <w:p w14:paraId="13519D81" w14:textId="77777777" w:rsidR="00D946AE" w:rsidRPr="00F61A79" w:rsidRDefault="00D946AE" w:rsidP="00D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</w:tcPr>
          <w:p w14:paraId="3D1409D9" w14:textId="77777777" w:rsidR="00D946AE" w:rsidRPr="00F61A79" w:rsidRDefault="00D946AE" w:rsidP="00D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14:paraId="44CA9536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управление культуры</w:t>
            </w:r>
          </w:p>
        </w:tc>
      </w:tr>
      <w:tr w:rsidR="00D946AE" w14:paraId="0A14E154" w14:textId="77777777" w:rsidTr="00CC7A7B">
        <w:tc>
          <w:tcPr>
            <w:tcW w:w="664" w:type="dxa"/>
          </w:tcPr>
          <w:p w14:paraId="4A033606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</w:t>
            </w:r>
          </w:p>
        </w:tc>
        <w:tc>
          <w:tcPr>
            <w:tcW w:w="4439" w:type="dxa"/>
          </w:tcPr>
          <w:p w14:paraId="783C56D3" w14:textId="77777777" w:rsidR="00D946AE" w:rsidRDefault="00D946AE" w:rsidP="00D9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 распространение системы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gridSpan w:val="2"/>
          </w:tcPr>
          <w:p w14:paraId="3DDBC3E7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2835" w:type="dxa"/>
          </w:tcPr>
          <w:p w14:paraId="32F75A72" w14:textId="77777777" w:rsidR="00D946AE" w:rsidRPr="00F61A79" w:rsidRDefault="00D946AE" w:rsidP="00D946AE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детей сертификатами персонифицированного дополнительного образования из числа детей, занимающихся по программам дополнительного образования</w:t>
            </w:r>
          </w:p>
        </w:tc>
        <w:tc>
          <w:tcPr>
            <w:tcW w:w="1419" w:type="dxa"/>
            <w:gridSpan w:val="2"/>
          </w:tcPr>
          <w:p w14:paraId="5655A5F9" w14:textId="77777777" w:rsidR="00D946AE" w:rsidRPr="00F61A7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68" w:type="dxa"/>
            <w:gridSpan w:val="2"/>
          </w:tcPr>
          <w:p w14:paraId="2ECD2424" w14:textId="77777777" w:rsidR="00D946AE" w:rsidRPr="00F61A7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92,2%</w:t>
            </w:r>
          </w:p>
        </w:tc>
        <w:tc>
          <w:tcPr>
            <w:tcW w:w="776" w:type="dxa"/>
            <w:gridSpan w:val="2"/>
          </w:tcPr>
          <w:p w14:paraId="0EF03506" w14:textId="77777777" w:rsidR="00D946AE" w:rsidRPr="00F61A7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776" w:type="dxa"/>
            <w:gridSpan w:val="2"/>
          </w:tcPr>
          <w:p w14:paraId="302EE6A5" w14:textId="77777777" w:rsidR="00D946AE" w:rsidRPr="00F61A79" w:rsidRDefault="00D946AE" w:rsidP="00D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80" w:type="dxa"/>
          </w:tcPr>
          <w:p w14:paraId="12531C04" w14:textId="77777777" w:rsidR="00D946AE" w:rsidRPr="00F61A79" w:rsidRDefault="00D946AE" w:rsidP="00D9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79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701" w:type="dxa"/>
          </w:tcPr>
          <w:p w14:paraId="1966714A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управление культуры</w:t>
            </w:r>
          </w:p>
        </w:tc>
      </w:tr>
      <w:tr w:rsidR="00D946AE" w14:paraId="581886D8" w14:textId="77777777" w:rsidTr="00CC7A7B">
        <w:tc>
          <w:tcPr>
            <w:tcW w:w="664" w:type="dxa"/>
          </w:tcPr>
          <w:p w14:paraId="5E1504E4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6.6</w:t>
            </w:r>
          </w:p>
        </w:tc>
        <w:tc>
          <w:tcPr>
            <w:tcW w:w="4439" w:type="dxa"/>
          </w:tcPr>
          <w:p w14:paraId="67699390" w14:textId="77777777" w:rsidR="00D946AE" w:rsidRDefault="00D946AE" w:rsidP="00D9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форумов,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418" w:type="dxa"/>
            <w:gridSpan w:val="2"/>
          </w:tcPr>
          <w:p w14:paraId="584EFB5D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2835" w:type="dxa"/>
          </w:tcPr>
          <w:p w14:paraId="690E08E2" w14:textId="77777777" w:rsidR="00D946AE" w:rsidRDefault="00D946AE" w:rsidP="00D94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год</w:t>
            </w:r>
          </w:p>
        </w:tc>
        <w:tc>
          <w:tcPr>
            <w:tcW w:w="1419" w:type="dxa"/>
            <w:gridSpan w:val="2"/>
          </w:tcPr>
          <w:p w14:paraId="5A77A7BB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8" w:type="dxa"/>
            <w:gridSpan w:val="2"/>
          </w:tcPr>
          <w:p w14:paraId="3B6AA4C6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</w:tcPr>
          <w:p w14:paraId="054012BB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</w:tcPr>
          <w:p w14:paraId="061B3866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14:paraId="5D4F57D3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7E93163" w14:textId="77777777" w:rsidR="00D946AE" w:rsidRDefault="00D946AE" w:rsidP="00D94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управление культуры</w:t>
            </w:r>
          </w:p>
        </w:tc>
      </w:tr>
      <w:tr w:rsidR="00D946AE" w14:paraId="1D737095" w14:textId="77777777" w:rsidTr="00CC7A7B">
        <w:tc>
          <w:tcPr>
            <w:tcW w:w="664" w:type="dxa"/>
          </w:tcPr>
          <w:p w14:paraId="3FF9EB2E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6.7</w:t>
            </w:r>
          </w:p>
        </w:tc>
        <w:tc>
          <w:tcPr>
            <w:tcW w:w="4439" w:type="dxa"/>
          </w:tcPr>
          <w:p w14:paraId="71C00DF6" w14:textId="77777777" w:rsidR="00D946AE" w:rsidRDefault="00D946AE" w:rsidP="00D94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субъекта Российской Федерации</w:t>
            </w:r>
          </w:p>
        </w:tc>
        <w:tc>
          <w:tcPr>
            <w:tcW w:w="1418" w:type="dxa"/>
            <w:gridSpan w:val="2"/>
          </w:tcPr>
          <w:p w14:paraId="6FE496CB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2019-2022</w:t>
            </w:r>
          </w:p>
        </w:tc>
        <w:tc>
          <w:tcPr>
            <w:tcW w:w="2835" w:type="dxa"/>
          </w:tcPr>
          <w:p w14:paraId="2F79D079" w14:textId="77777777" w:rsidR="00D946AE" w:rsidRDefault="00D946AE" w:rsidP="00D94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потребителей услуг, предоставляемых организациями частной формы собственности</w:t>
            </w:r>
          </w:p>
        </w:tc>
        <w:tc>
          <w:tcPr>
            <w:tcW w:w="1419" w:type="dxa"/>
            <w:gridSpan w:val="2"/>
          </w:tcPr>
          <w:p w14:paraId="6F3F8CFE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068" w:type="dxa"/>
            <w:gridSpan w:val="2"/>
          </w:tcPr>
          <w:p w14:paraId="7410E0B6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6" w:type="dxa"/>
            <w:gridSpan w:val="2"/>
          </w:tcPr>
          <w:p w14:paraId="46898A72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6" w:type="dxa"/>
            <w:gridSpan w:val="2"/>
          </w:tcPr>
          <w:p w14:paraId="259119A6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0" w:type="dxa"/>
          </w:tcPr>
          <w:p w14:paraId="4A91ADCD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01" w:type="dxa"/>
          </w:tcPr>
          <w:p w14:paraId="51C569AA" w14:textId="77777777" w:rsidR="00D946AE" w:rsidRDefault="00D946AE" w:rsidP="00D946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946AE" w14:paraId="153FEFB4" w14:textId="77777777" w:rsidTr="00CC7A7B">
        <w:tc>
          <w:tcPr>
            <w:tcW w:w="15876" w:type="dxa"/>
            <w:gridSpan w:val="15"/>
          </w:tcPr>
          <w:p w14:paraId="70B2C517" w14:textId="77777777" w:rsidR="00D946AE" w:rsidRPr="006951DE" w:rsidRDefault="00D946AE" w:rsidP="00D946AE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951DE"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услуг</w:t>
            </w:r>
          </w:p>
        </w:tc>
      </w:tr>
      <w:tr w:rsidR="00D946AE" w14:paraId="138B0DDF" w14:textId="77777777" w:rsidTr="00CC7A7B">
        <w:tc>
          <w:tcPr>
            <w:tcW w:w="15876" w:type="dxa"/>
            <w:gridSpan w:val="15"/>
          </w:tcPr>
          <w:p w14:paraId="6E009C09" w14:textId="77777777" w:rsidR="001B640B" w:rsidRDefault="00D946AE" w:rsidP="001B640B">
            <w:pPr>
              <w:pStyle w:val="ConsPlusNormal"/>
              <w:jc w:val="both"/>
            </w:pPr>
            <w:r w:rsidRPr="006755D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МО МР «Сыктывдинский» отсутствует специализированная служба по оказанию ритуальных услуг населению. </w:t>
            </w:r>
            <w:r w:rsidR="00B13ECF" w:rsidRPr="006755DC">
              <w:rPr>
                <w:rFonts w:ascii="Times New Roman" w:hAnsi="Times New Roman" w:cs="Times New Roman"/>
                <w:sz w:val="24"/>
                <w:szCs w:val="24"/>
              </w:rPr>
              <w:t>Администрацией МО</w:t>
            </w:r>
            <w:r w:rsidRPr="006755DC">
              <w:rPr>
                <w:rFonts w:ascii="Times New Roman" w:hAnsi="Times New Roman" w:cs="Times New Roman"/>
                <w:sz w:val="24"/>
                <w:szCs w:val="24"/>
              </w:rPr>
              <w:t xml:space="preserve"> МР «Сыктывдинский» заключен договор на оказание ритуальных услуг по захоронению </w:t>
            </w:r>
            <w:r w:rsidR="00B13ECF" w:rsidRPr="006755DC">
              <w:rPr>
                <w:rFonts w:ascii="Times New Roman" w:hAnsi="Times New Roman" w:cs="Times New Roman"/>
                <w:sz w:val="24"/>
                <w:szCs w:val="24"/>
              </w:rPr>
              <w:t>невостребованных умерших</w:t>
            </w:r>
            <w:r w:rsidRPr="006755DC">
              <w:rPr>
                <w:rFonts w:ascii="Times New Roman" w:hAnsi="Times New Roman" w:cs="Times New Roman"/>
                <w:sz w:val="24"/>
                <w:szCs w:val="24"/>
              </w:rPr>
              <w:t xml:space="preserve"> с ИП Чужмаров А.А. Кроме того, право на оказание ритуальных услуг, имеют иные юридические лица и индивидуальные предприниматели. На территории </w:t>
            </w:r>
            <w:r w:rsidR="00B13ECF" w:rsidRPr="006755DC">
              <w:rPr>
                <w:rFonts w:ascii="Times New Roman" w:hAnsi="Times New Roman" w:cs="Times New Roman"/>
                <w:sz w:val="24"/>
                <w:szCs w:val="24"/>
              </w:rPr>
              <w:t>МО ритуальные</w:t>
            </w:r>
            <w:r w:rsidRPr="006755DC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оказывает еще 1 юридическое лицо ООО «Гранит», зарегистрированное на территории </w:t>
            </w:r>
            <w:r w:rsidR="00B13ECF" w:rsidRPr="006755DC">
              <w:rPr>
                <w:rFonts w:ascii="Times New Roman" w:hAnsi="Times New Roman" w:cs="Times New Roman"/>
                <w:sz w:val="24"/>
                <w:szCs w:val="24"/>
              </w:rPr>
              <w:t>района и</w:t>
            </w:r>
            <w:r w:rsidRPr="006755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зарегистрированные на территории МО ГО «Сыктывкар».</w:t>
            </w:r>
            <w:r w:rsidR="001B640B">
              <w:t xml:space="preserve"> </w:t>
            </w:r>
          </w:p>
          <w:p w14:paraId="16E1EB74" w14:textId="202CB3F6" w:rsidR="001B640B" w:rsidRPr="001B640B" w:rsidRDefault="001B640B" w:rsidP="001B6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40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</w:t>
            </w:r>
          </w:p>
          <w:p w14:paraId="74129043" w14:textId="6BB1BA84" w:rsidR="001B640B" w:rsidRPr="001B640B" w:rsidRDefault="001B640B" w:rsidP="001B64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40B">
              <w:rPr>
                <w:rFonts w:ascii="Times New Roman" w:hAnsi="Times New Roman" w:cs="Times New Roman"/>
                <w:sz w:val="24"/>
                <w:szCs w:val="24"/>
              </w:rPr>
              <w:t>- увеличен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ие число</w:t>
            </w:r>
            <w:r w:rsidRPr="001B640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хозяйствующих субъектов частной формы собственности на рынке ритуальных услуг;</w:t>
            </w:r>
          </w:p>
          <w:p w14:paraId="50DB990B" w14:textId="7B594438" w:rsidR="00D946AE" w:rsidRPr="006755DC" w:rsidRDefault="001B640B" w:rsidP="001B6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40B">
              <w:rPr>
                <w:rFonts w:ascii="Times New Roman" w:hAnsi="Times New Roman" w:cs="Times New Roman"/>
                <w:sz w:val="24"/>
                <w:szCs w:val="24"/>
              </w:rPr>
              <w:t>- обеспечено повышение удовлетворенности потребителей услугами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6AE" w14:paraId="78218DC5" w14:textId="77777777" w:rsidTr="00CC7A7B">
        <w:tc>
          <w:tcPr>
            <w:tcW w:w="664" w:type="dxa"/>
          </w:tcPr>
          <w:p w14:paraId="589FD371" w14:textId="77777777" w:rsidR="00D946A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</w:t>
            </w:r>
          </w:p>
        </w:tc>
        <w:tc>
          <w:tcPr>
            <w:tcW w:w="4439" w:type="dxa"/>
          </w:tcPr>
          <w:p w14:paraId="067F6F12" w14:textId="77777777" w:rsidR="00D946AE" w:rsidRPr="006951DE" w:rsidRDefault="00D946AE" w:rsidP="00D946AE">
            <w:pPr>
              <w:jc w:val="both"/>
            </w:pPr>
            <w:r w:rsidRPr="00D47424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(адрес, </w:t>
            </w:r>
            <w:r w:rsidRPr="00D47424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почта)</w:t>
            </w:r>
          </w:p>
        </w:tc>
        <w:tc>
          <w:tcPr>
            <w:tcW w:w="1418" w:type="dxa"/>
            <w:gridSpan w:val="2"/>
          </w:tcPr>
          <w:p w14:paraId="61D4B0EC" w14:textId="77777777" w:rsidR="00D946AE" w:rsidRPr="006951D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2835" w:type="dxa"/>
          </w:tcPr>
          <w:p w14:paraId="37942E18" w14:textId="77777777" w:rsidR="00D946AE" w:rsidRPr="006951DE" w:rsidRDefault="00D946AE" w:rsidP="00D946AE">
            <w:pPr>
              <w:jc w:val="center"/>
            </w:pPr>
            <w:r w:rsidRPr="00F81EB9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в сфере ритуальных услуг</w:t>
            </w:r>
          </w:p>
        </w:tc>
        <w:tc>
          <w:tcPr>
            <w:tcW w:w="1419" w:type="dxa"/>
            <w:gridSpan w:val="2"/>
          </w:tcPr>
          <w:p w14:paraId="4AB918D3" w14:textId="77777777" w:rsidR="00D946AE" w:rsidRPr="006951DE" w:rsidRDefault="00D946AE" w:rsidP="00D946A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68" w:type="dxa"/>
            <w:gridSpan w:val="2"/>
          </w:tcPr>
          <w:p w14:paraId="39FA22C8" w14:textId="77777777" w:rsidR="00D946AE" w:rsidRPr="006951D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76" w:type="dxa"/>
            <w:gridSpan w:val="2"/>
          </w:tcPr>
          <w:p w14:paraId="4C151B1D" w14:textId="77777777" w:rsidR="00D946AE" w:rsidRPr="006951D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76" w:type="dxa"/>
            <w:gridSpan w:val="2"/>
          </w:tcPr>
          <w:p w14:paraId="60BDF3CF" w14:textId="77777777" w:rsidR="00D946AE" w:rsidRPr="006951D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80" w:type="dxa"/>
          </w:tcPr>
          <w:p w14:paraId="723F48F4" w14:textId="77777777" w:rsidR="00D946AE" w:rsidRPr="006951DE" w:rsidRDefault="00D946AE" w:rsidP="00D946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</w:tcPr>
          <w:p w14:paraId="00DEA30B" w14:textId="77777777" w:rsidR="00D946AE" w:rsidRPr="00576C29" w:rsidRDefault="00D946AE" w:rsidP="00D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9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D946AE" w14:paraId="1538785B" w14:textId="77777777" w:rsidTr="00CC7A7B">
        <w:tc>
          <w:tcPr>
            <w:tcW w:w="15876" w:type="dxa"/>
            <w:gridSpan w:val="15"/>
          </w:tcPr>
          <w:p w14:paraId="3A48C849" w14:textId="77777777" w:rsidR="00D946AE" w:rsidRDefault="00D946AE" w:rsidP="00D946AE">
            <w:pPr>
              <w:jc w:val="center"/>
            </w:pPr>
            <w:r w:rsidRPr="008618D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t xml:space="preserve"> </w:t>
            </w:r>
            <w:r w:rsidRPr="00A7006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DC2B79" w14:paraId="12DF0D32" w14:textId="77777777" w:rsidTr="00CC7A7B">
        <w:tc>
          <w:tcPr>
            <w:tcW w:w="15876" w:type="dxa"/>
            <w:gridSpan w:val="15"/>
          </w:tcPr>
          <w:p w14:paraId="4AE83397" w14:textId="096877AF" w:rsidR="00DC2B79" w:rsidRPr="00B763D9" w:rsidRDefault="00DC2B79" w:rsidP="00B76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конкурентной среды на рынке услуг связи по предоставлению широкополосного доступа к сети Интернет характеризуется присутствием организаций преимущественно частной формы собственности. </w:t>
            </w:r>
            <w:r w:rsidR="0082295F" w:rsidRPr="00B763D9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района зарегистрировано 1764 телефонных аппаратов общего пользования.  Информационные и коммуникационные технологии представляют ЗАО «Ростелекомм» и ЗАО «Рейс - Телеком» в удаленных населенных пунктах (4 ед.). На всех территории Сыктывдинского района доступны услуги сотовой связи.</w:t>
            </w:r>
          </w:p>
          <w:p w14:paraId="490FF9AD" w14:textId="6E911391" w:rsidR="00DC2B79" w:rsidRPr="00B763D9" w:rsidRDefault="00DC2B79" w:rsidP="00B76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мониторинга состояния конкурентной среды по итогам 2018 года в отношении рынка информатизации и связи </w:t>
            </w:r>
            <w:r w:rsidR="00E6197A"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="00B763D9"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E6197A"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</w:t>
            </w:r>
            <w:r w:rsidR="00E6197A" w:rsidRPr="00B763D9">
              <w:rPr>
                <w:rFonts w:ascii="Times New Roman" w:hAnsi="Times New Roman" w:cs="Times New Roman"/>
                <w:sz w:val="24"/>
                <w:szCs w:val="24"/>
              </w:rPr>
              <w:t>недовольны</w:t>
            </w: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 имеющимся предложением</w:t>
            </w:r>
            <w:r w:rsidR="00B763D9"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 и уровнем цен</w:t>
            </w: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97A"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56 % из числа опрошенных </w:t>
            </w: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>отметил</w:t>
            </w:r>
            <w:r w:rsidR="00E6197A" w:rsidRPr="00B763D9">
              <w:rPr>
                <w:rFonts w:ascii="Times New Roman" w:hAnsi="Times New Roman" w:cs="Times New Roman"/>
                <w:sz w:val="24"/>
                <w:szCs w:val="24"/>
              </w:rPr>
              <w:t>и, что количество организаций, предоставляющих услуги в сфере информатизации и связи в 2018 году, не изменилось</w:t>
            </w: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>. Уровень удовлетворенности</w:t>
            </w:r>
            <w:r w:rsidR="00E6197A"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услуг </w:t>
            </w: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2018 года возрос на </w:t>
            </w:r>
            <w:r w:rsidR="00B763D9" w:rsidRPr="00B763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63D9" w:rsidRPr="00B763D9">
              <w:rPr>
                <w:rFonts w:ascii="Times New Roman" w:hAnsi="Times New Roman" w:cs="Times New Roman"/>
                <w:sz w:val="24"/>
                <w:szCs w:val="24"/>
              </w:rPr>
              <w:t>и составил 48,8 % от числа опрошенных</w:t>
            </w: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1A4A89" w14:textId="5B4A400C" w:rsidR="00DC2B79" w:rsidRPr="00B763D9" w:rsidRDefault="00DC2B79" w:rsidP="00B76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информационных и телекоммуникационных технологий, направленных на развитие информационного общества, включая обеспечение высокоскоростного доступа к сети </w:t>
            </w:r>
            <w:r w:rsidR="00B763D9" w:rsidRPr="00B763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B763D9" w:rsidRPr="00B76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B763D9"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и в труднодоступных и удаленных </w:t>
            </w: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пунктах, расположенных </w:t>
            </w:r>
            <w:r w:rsidR="00B763D9" w:rsidRPr="00B763D9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</w:t>
            </w: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63D9"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в проект </w:t>
            </w:r>
            <w:hyperlink r:id="rId11" w:history="1">
              <w:r w:rsidR="00B763D9" w:rsidRPr="00B763D9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  <w:r w:rsidR="00B763D9"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МО МР «Сыктывдинский» на период до 2035 года</w:t>
            </w: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3D9"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 из приоритетных направлений совершенствования инфраструктурной обеспеченности </w:t>
            </w:r>
            <w:r w:rsidR="00B763D9" w:rsidRPr="00B763D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91821B" w14:textId="77777777" w:rsidR="00DC2B79" w:rsidRPr="00B763D9" w:rsidRDefault="00DC2B79" w:rsidP="00B76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</w:t>
            </w:r>
          </w:p>
          <w:p w14:paraId="1C8AC61D" w14:textId="34D963AB" w:rsidR="00DC2B79" w:rsidRPr="00B763D9" w:rsidRDefault="00DC2B79" w:rsidP="00B76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>- повышен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 уровен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63D9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населения качеством, выбором и ценой услуг связи по предоставлению широкополосного доступа к сети Интернет</w:t>
            </w:r>
          </w:p>
        </w:tc>
      </w:tr>
      <w:tr w:rsidR="00DC2B79" w14:paraId="5ED8658D" w14:textId="77777777" w:rsidTr="00CC7A7B">
        <w:tc>
          <w:tcPr>
            <w:tcW w:w="664" w:type="dxa"/>
          </w:tcPr>
          <w:p w14:paraId="326DFAC0" w14:textId="77777777" w:rsidR="00DC2B79" w:rsidRPr="00DF4AF7" w:rsidRDefault="00DC2B79" w:rsidP="00DC2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AF7">
              <w:rPr>
                <w:rFonts w:ascii="Times New Roman" w:hAnsi="Times New Roman" w:cs="Times New Roman"/>
                <w:sz w:val="24"/>
              </w:rPr>
              <w:lastRenderedPageBreak/>
              <w:t>8.1</w:t>
            </w:r>
          </w:p>
        </w:tc>
        <w:tc>
          <w:tcPr>
            <w:tcW w:w="4439" w:type="dxa"/>
          </w:tcPr>
          <w:p w14:paraId="40395A5D" w14:textId="77777777" w:rsidR="00DC2B79" w:rsidRPr="008F3DD3" w:rsidRDefault="00DC2B79" w:rsidP="00DC2B7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66EF">
              <w:rPr>
                <w:rFonts w:ascii="Times New Roman" w:hAnsi="Times New Roman" w:cs="Times New Roman"/>
                <w:sz w:val="24"/>
                <w:szCs w:val="24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собственности.</w:t>
            </w:r>
          </w:p>
        </w:tc>
        <w:tc>
          <w:tcPr>
            <w:tcW w:w="1418" w:type="dxa"/>
            <w:gridSpan w:val="2"/>
            <w:vMerge w:val="restart"/>
          </w:tcPr>
          <w:p w14:paraId="734C679E" w14:textId="77777777" w:rsidR="00DC2B79" w:rsidRPr="008F3DD3" w:rsidRDefault="00DC2B79" w:rsidP="00DC2B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  <w:p w14:paraId="552FFD53" w14:textId="77777777" w:rsidR="00DC2B79" w:rsidRPr="008F3DD3" w:rsidRDefault="00DC2B79" w:rsidP="00DC2B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vMerge w:val="restart"/>
          </w:tcPr>
          <w:p w14:paraId="2D164CC5" w14:textId="77777777" w:rsidR="00DC2B79" w:rsidRDefault="00DC2B79" w:rsidP="00DC2B79">
            <w:pPr>
              <w:jc w:val="center"/>
            </w:pPr>
            <w:r w:rsidRPr="00AA745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419" w:type="dxa"/>
            <w:gridSpan w:val="2"/>
            <w:vMerge w:val="restart"/>
          </w:tcPr>
          <w:p w14:paraId="4B8BDF75" w14:textId="77777777" w:rsidR="00DC2B79" w:rsidRPr="002A365C" w:rsidRDefault="00DC2B79" w:rsidP="00DC2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365C"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068" w:type="dxa"/>
            <w:gridSpan w:val="2"/>
            <w:vMerge w:val="restart"/>
          </w:tcPr>
          <w:p w14:paraId="500866B1" w14:textId="77777777" w:rsidR="00DC2B79" w:rsidRPr="00AA7455" w:rsidRDefault="00DC2B79" w:rsidP="00DC2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4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76" w:type="dxa"/>
            <w:gridSpan w:val="2"/>
            <w:vMerge w:val="restart"/>
          </w:tcPr>
          <w:p w14:paraId="6D58704F" w14:textId="77777777" w:rsidR="00DC2B79" w:rsidRPr="00AA7455" w:rsidRDefault="00DC2B79" w:rsidP="00DC2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6" w:type="dxa"/>
            <w:gridSpan w:val="2"/>
            <w:vMerge w:val="restart"/>
          </w:tcPr>
          <w:p w14:paraId="74D988FF" w14:textId="77777777" w:rsidR="00DC2B79" w:rsidRPr="00AA7455" w:rsidRDefault="00DC2B79" w:rsidP="00DC2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0" w:type="dxa"/>
            <w:vMerge w:val="restart"/>
          </w:tcPr>
          <w:p w14:paraId="58699A0B" w14:textId="77777777" w:rsidR="00DC2B79" w:rsidRPr="00AA7455" w:rsidRDefault="00DC2B79" w:rsidP="00DC2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Merge w:val="restart"/>
          </w:tcPr>
          <w:p w14:paraId="66477821" w14:textId="77777777" w:rsidR="00DC2B79" w:rsidRPr="00B340B1" w:rsidRDefault="00DC2B79" w:rsidP="00DC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1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DC2B79" w14:paraId="3FA30E32" w14:textId="77777777" w:rsidTr="00CC7A7B">
        <w:tc>
          <w:tcPr>
            <w:tcW w:w="664" w:type="dxa"/>
          </w:tcPr>
          <w:p w14:paraId="2EBCAAB7" w14:textId="77777777" w:rsidR="00DC2B79" w:rsidRPr="00DF4AF7" w:rsidRDefault="00DC2B79" w:rsidP="00DC2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AF7">
              <w:rPr>
                <w:rFonts w:ascii="Times New Roman" w:hAnsi="Times New Roman" w:cs="Times New Roman"/>
                <w:sz w:val="24"/>
              </w:rPr>
              <w:t>8.2</w:t>
            </w:r>
          </w:p>
        </w:tc>
        <w:tc>
          <w:tcPr>
            <w:tcW w:w="4439" w:type="dxa"/>
          </w:tcPr>
          <w:p w14:paraId="16EDF5D1" w14:textId="77777777" w:rsidR="00DC2B79" w:rsidRPr="00653A2E" w:rsidRDefault="00DC2B79" w:rsidP="00DC2B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A2E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покрытия территорий муниципальных образований в Республике Коми современными услугами связи, включая широкополосный доступ к сети Интернет</w:t>
            </w:r>
          </w:p>
        </w:tc>
        <w:tc>
          <w:tcPr>
            <w:tcW w:w="1418" w:type="dxa"/>
            <w:gridSpan w:val="2"/>
            <w:vMerge/>
          </w:tcPr>
          <w:p w14:paraId="41FC0368" w14:textId="77777777" w:rsidR="00DC2B79" w:rsidRPr="008F3DD3" w:rsidRDefault="00DC2B79" w:rsidP="00DC2B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vMerge/>
          </w:tcPr>
          <w:p w14:paraId="7C1B7442" w14:textId="77777777" w:rsidR="00DC2B79" w:rsidRDefault="00DC2B79" w:rsidP="00DC2B79">
            <w:pPr>
              <w:jc w:val="center"/>
            </w:pPr>
          </w:p>
        </w:tc>
        <w:tc>
          <w:tcPr>
            <w:tcW w:w="1419" w:type="dxa"/>
            <w:gridSpan w:val="2"/>
            <w:vMerge/>
          </w:tcPr>
          <w:p w14:paraId="4448131E" w14:textId="77777777" w:rsidR="00DC2B79" w:rsidRDefault="00DC2B79" w:rsidP="00DC2B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8" w:type="dxa"/>
            <w:gridSpan w:val="2"/>
            <w:vMerge/>
          </w:tcPr>
          <w:p w14:paraId="1C124B94" w14:textId="77777777" w:rsidR="00DC2B79" w:rsidRDefault="00DC2B79" w:rsidP="00DC2B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04EA32E7" w14:textId="77777777" w:rsidR="00DC2B79" w:rsidRDefault="00DC2B79" w:rsidP="00DC2B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27AF7BFF" w14:textId="77777777" w:rsidR="00DC2B79" w:rsidRDefault="00DC2B79" w:rsidP="00DC2B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0" w:type="dxa"/>
            <w:vMerge/>
          </w:tcPr>
          <w:p w14:paraId="1234A255" w14:textId="77777777" w:rsidR="00DC2B79" w:rsidRDefault="00DC2B79" w:rsidP="00DC2B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14:paraId="08444F4E" w14:textId="77777777" w:rsidR="00DC2B79" w:rsidRDefault="00DC2B79" w:rsidP="00DC2B79">
            <w:pPr>
              <w:jc w:val="center"/>
            </w:pPr>
          </w:p>
        </w:tc>
      </w:tr>
      <w:tr w:rsidR="00DC2B79" w14:paraId="07CFC053" w14:textId="77777777" w:rsidTr="00CC7A7B">
        <w:tc>
          <w:tcPr>
            <w:tcW w:w="664" w:type="dxa"/>
          </w:tcPr>
          <w:p w14:paraId="6D646A1B" w14:textId="77777777" w:rsidR="00DC2B79" w:rsidRPr="00653A2E" w:rsidRDefault="00DC2B79" w:rsidP="00DC2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</w:t>
            </w:r>
          </w:p>
        </w:tc>
        <w:tc>
          <w:tcPr>
            <w:tcW w:w="4439" w:type="dxa"/>
          </w:tcPr>
          <w:p w14:paraId="404774C3" w14:textId="77777777" w:rsidR="00DC2B79" w:rsidRPr="00653A2E" w:rsidRDefault="00DC2B79" w:rsidP="00DC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</w:rPr>
              <w:t>Сформировать и утвердить перечень объектов государственной собственности субъекта Российской Федерации/муниципальной собственности для размещения объектов, сооружений и средств связи</w:t>
            </w:r>
          </w:p>
        </w:tc>
        <w:tc>
          <w:tcPr>
            <w:tcW w:w="1418" w:type="dxa"/>
            <w:gridSpan w:val="2"/>
            <w:vMerge/>
          </w:tcPr>
          <w:p w14:paraId="1057267F" w14:textId="77777777" w:rsidR="00DC2B79" w:rsidRPr="00B466EF" w:rsidRDefault="00DC2B79" w:rsidP="00DC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A6C9ED0" w14:textId="77777777" w:rsidR="00DC2B79" w:rsidRDefault="00DC2B79" w:rsidP="00DC2B79">
            <w:pPr>
              <w:jc w:val="center"/>
            </w:pPr>
          </w:p>
        </w:tc>
        <w:tc>
          <w:tcPr>
            <w:tcW w:w="1419" w:type="dxa"/>
            <w:gridSpan w:val="2"/>
            <w:vMerge/>
          </w:tcPr>
          <w:p w14:paraId="3415991C" w14:textId="77777777" w:rsidR="00DC2B79" w:rsidRPr="002A365C" w:rsidRDefault="00DC2B79" w:rsidP="00DC2B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gridSpan w:val="2"/>
            <w:vMerge/>
          </w:tcPr>
          <w:p w14:paraId="3B9F9147" w14:textId="77777777" w:rsidR="00DC2B79" w:rsidRPr="00114871" w:rsidRDefault="00DC2B79" w:rsidP="00DC2B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73951CEB" w14:textId="77777777" w:rsidR="00DC2B79" w:rsidRDefault="00DC2B79" w:rsidP="00DC2B79">
            <w:pPr>
              <w:jc w:val="center"/>
            </w:pPr>
          </w:p>
        </w:tc>
        <w:tc>
          <w:tcPr>
            <w:tcW w:w="776" w:type="dxa"/>
            <w:gridSpan w:val="2"/>
            <w:vMerge/>
          </w:tcPr>
          <w:p w14:paraId="3A835231" w14:textId="77777777" w:rsidR="00DC2B79" w:rsidRDefault="00DC2B79" w:rsidP="00DC2B79">
            <w:pPr>
              <w:jc w:val="center"/>
            </w:pPr>
          </w:p>
        </w:tc>
        <w:tc>
          <w:tcPr>
            <w:tcW w:w="780" w:type="dxa"/>
            <w:vMerge/>
          </w:tcPr>
          <w:p w14:paraId="5AF4EE27" w14:textId="77777777" w:rsidR="00DC2B79" w:rsidRDefault="00DC2B79" w:rsidP="00DC2B79">
            <w:pPr>
              <w:jc w:val="center"/>
            </w:pPr>
          </w:p>
        </w:tc>
        <w:tc>
          <w:tcPr>
            <w:tcW w:w="1701" w:type="dxa"/>
            <w:vMerge/>
          </w:tcPr>
          <w:p w14:paraId="01612B88" w14:textId="77777777" w:rsidR="00DC2B79" w:rsidRDefault="00DC2B79" w:rsidP="00DC2B79">
            <w:pPr>
              <w:jc w:val="center"/>
            </w:pPr>
          </w:p>
        </w:tc>
      </w:tr>
      <w:tr w:rsidR="00DC2B79" w:rsidRPr="0030034C" w14:paraId="70FD58AB" w14:textId="77777777" w:rsidTr="00CC7A7B">
        <w:tc>
          <w:tcPr>
            <w:tcW w:w="15876" w:type="dxa"/>
            <w:gridSpan w:val="15"/>
          </w:tcPr>
          <w:p w14:paraId="4811E14E" w14:textId="77777777" w:rsidR="00DC2B79" w:rsidRPr="00F91C18" w:rsidRDefault="00DC2B79" w:rsidP="00DC2B79">
            <w:pPr>
              <w:pStyle w:val="a4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 w:rsidRPr="00F91C18">
              <w:rPr>
                <w:rFonts w:ascii="Times New Roman" w:hAnsi="Times New Roman" w:cs="Times New Roman"/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DC2B79" w:rsidRPr="0030034C" w14:paraId="075F6E74" w14:textId="77777777" w:rsidTr="00CC7A7B">
        <w:tc>
          <w:tcPr>
            <w:tcW w:w="15876" w:type="dxa"/>
            <w:gridSpan w:val="15"/>
          </w:tcPr>
          <w:p w14:paraId="42A5772C" w14:textId="12D15AA2" w:rsidR="00174797" w:rsidRPr="007704D5" w:rsidRDefault="00174797" w:rsidP="001747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D5">
              <w:rPr>
                <w:rFonts w:ascii="Times New Roman" w:hAnsi="Times New Roman" w:cs="Times New Roman"/>
                <w:sz w:val="24"/>
                <w:szCs w:val="24"/>
              </w:rPr>
              <w:t>В Сыктывдинском районе по состоянию на 1 января 2018 года фактически сложившаяся доля частного бизнеса, действующего на рынке архитектурно-строительного проектирования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04D5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100%.</w:t>
            </w:r>
          </w:p>
          <w:p w14:paraId="60D9B2BE" w14:textId="207143FC" w:rsidR="00174797" w:rsidRPr="007704D5" w:rsidRDefault="00174797" w:rsidP="001747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D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современного строительного комплекса, значимой составляющей которого является архитектурно-строительное проектирование, будет включено как одно из основных целей </w:t>
            </w:r>
            <w:hyperlink r:id="rId12" w:history="1">
              <w:r w:rsidRPr="007704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Стратегии</w:t>
              </w:r>
            </w:hyperlink>
            <w:r w:rsidRPr="007704D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МО МР «Сыктывдинский» на период до 2035 года.</w:t>
            </w:r>
          </w:p>
          <w:p w14:paraId="491C8D29" w14:textId="5CA63697" w:rsidR="00174797" w:rsidRPr="007704D5" w:rsidRDefault="00726A08" w:rsidP="001747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проблемой, с которой столкнулся муниципальный район является отсутствие 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704D5">
              <w:rPr>
                <w:rFonts w:ascii="Times New Roman" w:hAnsi="Times New Roman" w:cs="Times New Roman"/>
                <w:sz w:val="24"/>
                <w:szCs w:val="24"/>
              </w:rPr>
              <w:t xml:space="preserve">енерального плана сельского поселения «Выльгорт», так как в данном 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7704D5">
              <w:rPr>
                <w:rFonts w:ascii="Times New Roman" w:hAnsi="Times New Roman" w:cs="Times New Roman"/>
                <w:sz w:val="24"/>
                <w:szCs w:val="24"/>
              </w:rPr>
              <w:t xml:space="preserve"> проживает большая часть населения. В 2020 года администрация муниципального района планирует завершить работу по утверждению 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704D5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704D5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4D5">
              <w:rPr>
                <w:rFonts w:ascii="Times New Roman" w:hAnsi="Times New Roman" w:cs="Times New Roman"/>
                <w:sz w:val="24"/>
                <w:szCs w:val="24"/>
              </w:rPr>
              <w:t xml:space="preserve"> с. Выльгорт.</w:t>
            </w:r>
          </w:p>
          <w:p w14:paraId="1E15C21D" w14:textId="76CA4741" w:rsidR="00174797" w:rsidRPr="007704D5" w:rsidRDefault="00174797" w:rsidP="001747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D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</w:t>
            </w:r>
          </w:p>
          <w:p w14:paraId="142C6D07" w14:textId="7C36A148" w:rsidR="00DC2B79" w:rsidRPr="00F91C18" w:rsidRDefault="00174797" w:rsidP="00174797">
            <w:pPr>
              <w:pStyle w:val="a4"/>
              <w:suppressAutoHyphens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D5">
              <w:rPr>
                <w:rFonts w:ascii="Times New Roman" w:hAnsi="Times New Roman" w:cs="Times New Roman"/>
                <w:sz w:val="24"/>
                <w:szCs w:val="24"/>
              </w:rPr>
              <w:t>- сохране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7704D5">
              <w:rPr>
                <w:rFonts w:ascii="Times New Roman" w:hAnsi="Times New Roman" w:cs="Times New Roman"/>
                <w:sz w:val="24"/>
                <w:szCs w:val="24"/>
              </w:rPr>
              <w:t>100% доля негосударственного сектора на рынке архитектурно-строительного проектирования</w:t>
            </w:r>
          </w:p>
        </w:tc>
      </w:tr>
      <w:tr w:rsidR="00DC2B79" w:rsidRPr="00B340B1" w14:paraId="1B25A8D2" w14:textId="77777777" w:rsidTr="00CC7A7B">
        <w:tc>
          <w:tcPr>
            <w:tcW w:w="664" w:type="dxa"/>
          </w:tcPr>
          <w:p w14:paraId="423F8CDC" w14:textId="77777777" w:rsidR="00DC2B79" w:rsidRPr="00653A2E" w:rsidRDefault="00DC2B79" w:rsidP="00DC2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3A2E">
              <w:rPr>
                <w:rFonts w:ascii="Times New Roman" w:hAnsi="Times New Roman" w:cs="Times New Roman"/>
                <w:sz w:val="24"/>
              </w:rPr>
              <w:t>9.1</w:t>
            </w:r>
          </w:p>
        </w:tc>
        <w:tc>
          <w:tcPr>
            <w:tcW w:w="4439" w:type="dxa"/>
          </w:tcPr>
          <w:p w14:paraId="1B0BADC3" w14:textId="77777777" w:rsidR="00DC2B79" w:rsidRDefault="00DC2B79" w:rsidP="00DC2B7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E49B7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рекомендованного уровня ключевого показателя</w:t>
            </w:r>
          </w:p>
        </w:tc>
        <w:tc>
          <w:tcPr>
            <w:tcW w:w="1418" w:type="dxa"/>
            <w:gridSpan w:val="2"/>
            <w:vMerge w:val="restart"/>
          </w:tcPr>
          <w:p w14:paraId="2A15E383" w14:textId="77777777" w:rsidR="00DC2B79" w:rsidRDefault="00DC2B79" w:rsidP="00DC2B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2835" w:type="dxa"/>
            <w:vMerge w:val="restart"/>
          </w:tcPr>
          <w:p w14:paraId="24C5F1FB" w14:textId="77777777" w:rsidR="00DC2B79" w:rsidRDefault="00DC2B79" w:rsidP="00DC2B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9B7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BE4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архитектурн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о-строительного проектирования</w:t>
            </w:r>
          </w:p>
        </w:tc>
        <w:tc>
          <w:tcPr>
            <w:tcW w:w="1419" w:type="dxa"/>
            <w:gridSpan w:val="2"/>
            <w:vMerge w:val="restart"/>
          </w:tcPr>
          <w:p w14:paraId="58E0F868" w14:textId="77777777" w:rsidR="00DC2B79" w:rsidRDefault="00DC2B79" w:rsidP="00DC2B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Проценты</w:t>
            </w:r>
            <w:r w:rsidRPr="008C212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68" w:type="dxa"/>
            <w:gridSpan w:val="2"/>
            <w:vMerge w:val="restart"/>
          </w:tcPr>
          <w:p w14:paraId="49A69FE6" w14:textId="77777777" w:rsidR="00DC2B79" w:rsidRPr="00BE49B7" w:rsidRDefault="00DC2B79" w:rsidP="00DC2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76" w:type="dxa"/>
            <w:gridSpan w:val="2"/>
            <w:vMerge w:val="restart"/>
          </w:tcPr>
          <w:p w14:paraId="18510689" w14:textId="77777777" w:rsidR="00DC2B79" w:rsidRPr="00BE49B7" w:rsidRDefault="00DC2B79" w:rsidP="00DC2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76" w:type="dxa"/>
            <w:gridSpan w:val="2"/>
            <w:vMerge w:val="restart"/>
          </w:tcPr>
          <w:p w14:paraId="77747049" w14:textId="77777777" w:rsidR="00DC2B79" w:rsidRPr="00BE49B7" w:rsidRDefault="00DC2B79" w:rsidP="00DC2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80" w:type="dxa"/>
            <w:vMerge w:val="restart"/>
          </w:tcPr>
          <w:p w14:paraId="49049B67" w14:textId="77777777" w:rsidR="00DC2B79" w:rsidRPr="00BE49B7" w:rsidRDefault="00DC2B79" w:rsidP="00DC2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vMerge w:val="restart"/>
          </w:tcPr>
          <w:p w14:paraId="50CA940F" w14:textId="6A3EA402" w:rsidR="00DC2B79" w:rsidRPr="00B340B1" w:rsidRDefault="006A6FD7" w:rsidP="00DC2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DC2B79" w:rsidRPr="00B340B1">
              <w:rPr>
                <w:rFonts w:ascii="Times New Roman" w:hAnsi="Times New Roman" w:cs="Times New Roman"/>
                <w:sz w:val="24"/>
              </w:rPr>
              <w:t>правление архитектуры</w:t>
            </w:r>
            <w:r>
              <w:rPr>
                <w:rFonts w:ascii="Times New Roman" w:hAnsi="Times New Roman" w:cs="Times New Roman"/>
                <w:sz w:val="24"/>
              </w:rPr>
              <w:t>, управление капитального строительства</w:t>
            </w:r>
          </w:p>
          <w:p w14:paraId="069EF4E5" w14:textId="77777777" w:rsidR="00DC2B79" w:rsidRPr="00B340B1" w:rsidRDefault="00DC2B79" w:rsidP="00DC2B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B79" w14:paraId="2D227BF6" w14:textId="77777777" w:rsidTr="00CC7A7B">
        <w:tc>
          <w:tcPr>
            <w:tcW w:w="664" w:type="dxa"/>
          </w:tcPr>
          <w:p w14:paraId="0ECA398A" w14:textId="77777777" w:rsidR="00DC2B79" w:rsidRPr="00653A2E" w:rsidRDefault="00DC2B79" w:rsidP="00DC2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</w:t>
            </w:r>
          </w:p>
        </w:tc>
        <w:tc>
          <w:tcPr>
            <w:tcW w:w="4439" w:type="dxa"/>
          </w:tcPr>
          <w:p w14:paraId="7F0E0DEA" w14:textId="77777777" w:rsidR="00DC2B79" w:rsidRDefault="00DC2B79" w:rsidP="00DC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заинтересованных лиц о порядке проведения экспертизы проектной документации и результатов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изысканий, а также средней рыночной стоимости работ, путем размещения соответствующей информации в сети «Интернет»</w:t>
            </w:r>
          </w:p>
          <w:p w14:paraId="5938BF58" w14:textId="77777777" w:rsidR="00DC2B79" w:rsidRDefault="00DC2B79" w:rsidP="00DC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71117E30" w14:textId="77777777" w:rsidR="00DC2B79" w:rsidRDefault="00DC2B79" w:rsidP="00DC2B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14:paraId="4722F4DE" w14:textId="77777777" w:rsidR="00DC2B79" w:rsidRPr="0030034C" w:rsidRDefault="00DC2B79" w:rsidP="00DC2B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  <w:gridSpan w:val="2"/>
            <w:vMerge/>
          </w:tcPr>
          <w:p w14:paraId="2318C530" w14:textId="77777777" w:rsidR="00DC2B79" w:rsidRPr="008C2126" w:rsidRDefault="00DC2B79" w:rsidP="00DC2B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8" w:type="dxa"/>
            <w:gridSpan w:val="2"/>
            <w:vMerge/>
          </w:tcPr>
          <w:p w14:paraId="0851826E" w14:textId="77777777" w:rsidR="00DC2B79" w:rsidRPr="00BE49B7" w:rsidRDefault="00DC2B79" w:rsidP="00DC2B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3A056E15" w14:textId="77777777" w:rsidR="00DC2B79" w:rsidRPr="00BE49B7" w:rsidRDefault="00DC2B79" w:rsidP="00DC2B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7D5CF756" w14:textId="77777777" w:rsidR="00DC2B79" w:rsidRPr="00BE49B7" w:rsidRDefault="00DC2B79" w:rsidP="00DC2B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vMerge/>
          </w:tcPr>
          <w:p w14:paraId="7289AB08" w14:textId="77777777" w:rsidR="00DC2B79" w:rsidRPr="00BE49B7" w:rsidRDefault="00DC2B79" w:rsidP="00DC2B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26733770" w14:textId="77777777" w:rsidR="00DC2B79" w:rsidRDefault="00DC2B79" w:rsidP="00DC2B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B79" w:rsidRPr="001F1A09" w14:paraId="03CE97DB" w14:textId="77777777" w:rsidTr="00CC7A7B">
        <w:tc>
          <w:tcPr>
            <w:tcW w:w="15876" w:type="dxa"/>
            <w:gridSpan w:val="15"/>
          </w:tcPr>
          <w:p w14:paraId="1EFA4FA8" w14:textId="77777777" w:rsidR="00DC2B79" w:rsidRPr="00F91C18" w:rsidRDefault="00DC2B79" w:rsidP="00DC2B7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1C18">
              <w:rPr>
                <w:rFonts w:ascii="Times New Roman" w:hAnsi="Times New Roman" w:cs="Times New Roman"/>
                <w:b/>
                <w:sz w:val="24"/>
                <w:szCs w:val="24"/>
              </w:rPr>
              <w:t>Рынок жилищного строительства</w:t>
            </w:r>
          </w:p>
        </w:tc>
      </w:tr>
      <w:tr w:rsidR="00F95165" w:rsidRPr="001F1A09" w14:paraId="68A3A991" w14:textId="77777777" w:rsidTr="00CC7A7B">
        <w:tc>
          <w:tcPr>
            <w:tcW w:w="15876" w:type="dxa"/>
            <w:gridSpan w:val="15"/>
          </w:tcPr>
          <w:p w14:paraId="3DDB670F" w14:textId="3C308B67" w:rsidR="00F95165" w:rsidRPr="00804338" w:rsidRDefault="00F95165" w:rsidP="00F95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38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на территории муниципального образования в сфере жилищного строительства преобладают организации частной формы собственности - их доля на рынке на 01.01.2019 составляет 100%. </w:t>
            </w:r>
          </w:p>
          <w:p w14:paraId="0FE6FB99" w14:textId="6C729F27" w:rsidR="00F95165" w:rsidRDefault="00F95165" w:rsidP="00F95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38">
              <w:rPr>
                <w:rFonts w:ascii="Times New Roman" w:hAnsi="Times New Roman" w:cs="Times New Roman"/>
                <w:sz w:val="24"/>
                <w:szCs w:val="24"/>
              </w:rPr>
              <w:t>Развитие рынка жилья, в т.ч. через содействие строительству жилья, улучшение условий проживания граждан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4338">
              <w:rPr>
                <w:rFonts w:ascii="Times New Roman" w:hAnsi="Times New Roman" w:cs="Times New Roman"/>
                <w:sz w:val="24"/>
                <w:szCs w:val="24"/>
              </w:rPr>
              <w:t xml:space="preserve"> явля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4338">
              <w:rPr>
                <w:rFonts w:ascii="Times New Roman" w:hAnsi="Times New Roman" w:cs="Times New Roman"/>
                <w:sz w:val="24"/>
                <w:szCs w:val="24"/>
              </w:rPr>
              <w:t>тся основны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433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r w:rsidRPr="0080433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комфортной городской среды,</w:t>
            </w:r>
            <w:r w:rsidR="00804338" w:rsidRPr="00804338">
              <w:rPr>
                <w:rFonts w:ascii="Times New Roman" w:hAnsi="Times New Roman" w:cs="Times New Roman"/>
                <w:sz w:val="24"/>
                <w:szCs w:val="24"/>
              </w:rPr>
              <w:t xml:space="preserve"> котор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4338" w:rsidRPr="00804338">
              <w:rPr>
                <w:rFonts w:ascii="Times New Roman" w:hAnsi="Times New Roman" w:cs="Times New Roman"/>
                <w:sz w:val="24"/>
                <w:szCs w:val="24"/>
              </w:rPr>
              <w:t>е буд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804338" w:rsidRPr="0080433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4338" w:rsidRPr="0080433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0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360660">
                <w:rPr>
                  <w:rFonts w:ascii="Times New Roman" w:hAnsi="Times New Roman" w:cs="Times New Roman"/>
                  <w:sz w:val="24"/>
                  <w:szCs w:val="24"/>
                </w:rPr>
                <w:t>Стратеги</w:t>
              </w:r>
            </w:hyperlink>
            <w:r w:rsidRPr="0080433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Республики Коми на период до 2035 года.</w:t>
            </w:r>
          </w:p>
          <w:p w14:paraId="5B2AE7FB" w14:textId="2F8EA0A7" w:rsidR="00360660" w:rsidRPr="00360660" w:rsidRDefault="00360660" w:rsidP="00F95165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6066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</w:t>
            </w:r>
          </w:p>
          <w:p w14:paraId="380D2C8E" w14:textId="776CFA76" w:rsidR="00F95165" w:rsidRPr="00804338" w:rsidRDefault="00F95165" w:rsidP="008043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4338" w:rsidRPr="00804338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804338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804338" w:rsidRPr="008043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33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хозяйствующих субъектов частной формы собственности в общем количестве хозяйствующих субъектов на рынке</w:t>
            </w:r>
            <w:r w:rsidR="00804338" w:rsidRPr="00804338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100%</w:t>
            </w:r>
            <w:r w:rsidRPr="008043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21F43E" w14:textId="01EC973D" w:rsidR="00F95165" w:rsidRPr="00804338" w:rsidRDefault="00F95165" w:rsidP="0080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38">
              <w:rPr>
                <w:rFonts w:ascii="Times New Roman" w:hAnsi="Times New Roman" w:cs="Times New Roman"/>
                <w:sz w:val="24"/>
                <w:szCs w:val="24"/>
              </w:rPr>
              <w:t>- создан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04338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4338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04338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конкуренции на рынке</w:t>
            </w:r>
          </w:p>
        </w:tc>
      </w:tr>
      <w:tr w:rsidR="00F95165" w14:paraId="39FACE1C" w14:textId="77777777" w:rsidTr="00B13ECF">
        <w:tc>
          <w:tcPr>
            <w:tcW w:w="664" w:type="dxa"/>
          </w:tcPr>
          <w:p w14:paraId="27A46C66" w14:textId="77777777" w:rsidR="00F95165" w:rsidRPr="00DF4A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AF7">
              <w:rPr>
                <w:rFonts w:ascii="Times New Roman" w:hAnsi="Times New Roman" w:cs="Times New Roman"/>
                <w:sz w:val="24"/>
              </w:rPr>
              <w:t>10.1</w:t>
            </w:r>
          </w:p>
        </w:tc>
        <w:tc>
          <w:tcPr>
            <w:tcW w:w="4439" w:type="dxa"/>
            <w:vAlign w:val="center"/>
          </w:tcPr>
          <w:p w14:paraId="69DF559A" w14:textId="77777777" w:rsidR="00F95165" w:rsidRPr="000D68ED" w:rsidRDefault="00F95165" w:rsidP="007704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аукционов</w:t>
            </w:r>
            <w:r w:rsidRPr="000D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- по продаже и (или) предоставлению в аренду земельных участков для жилищного строительства;</w:t>
            </w:r>
            <w:r w:rsidRPr="000D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- на заключение договоров об освоении территории и (или) комплексном освоении территории в целях строительства стандартного жилья;</w:t>
            </w:r>
            <w:r w:rsidRPr="000D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на право аренды земельных участков в целях жилищного строительства, развития застроенных территорий, освоения территории в целях строительства жилья.</w:t>
            </w:r>
          </w:p>
        </w:tc>
        <w:tc>
          <w:tcPr>
            <w:tcW w:w="1418" w:type="dxa"/>
            <w:gridSpan w:val="2"/>
            <w:vMerge w:val="restart"/>
          </w:tcPr>
          <w:p w14:paraId="37E3D8E7" w14:textId="77777777" w:rsidR="00F95165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Pr="001D4424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14:paraId="3B04D53C" w14:textId="77777777" w:rsidR="00F95165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vMerge w:val="restart"/>
          </w:tcPr>
          <w:p w14:paraId="437524EE" w14:textId="77777777" w:rsidR="00F95165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6874">
              <w:rPr>
                <w:rFonts w:ascii="Times New Roman" w:hAnsi="Times New Roman"/>
                <w:sz w:val="24"/>
              </w:rPr>
              <w:t>доля организаций частной формы собственности в</w:t>
            </w:r>
            <w:r>
              <w:rPr>
                <w:rFonts w:ascii="Times New Roman" w:hAnsi="Times New Roman"/>
                <w:sz w:val="24"/>
              </w:rPr>
              <w:t xml:space="preserve"> сфере жилищного строительства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9" w:type="dxa"/>
            <w:gridSpan w:val="2"/>
            <w:vMerge w:val="restart"/>
          </w:tcPr>
          <w:p w14:paraId="001698E7" w14:textId="77777777" w:rsidR="00F95165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6874">
              <w:rPr>
                <w:rFonts w:ascii="Times New Roman" w:hAnsi="Times New Roman"/>
                <w:sz w:val="24"/>
              </w:rPr>
              <w:t>Проценты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68" w:type="dxa"/>
            <w:gridSpan w:val="2"/>
            <w:vMerge w:val="restart"/>
          </w:tcPr>
          <w:p w14:paraId="7DF4929B" w14:textId="55083CCF" w:rsidR="00F95165" w:rsidRPr="00526E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76" w:type="dxa"/>
            <w:gridSpan w:val="2"/>
            <w:vMerge w:val="restart"/>
          </w:tcPr>
          <w:p w14:paraId="2AA94976" w14:textId="1A0E80D3" w:rsidR="00F95165" w:rsidRPr="00526E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76" w:type="dxa"/>
            <w:gridSpan w:val="2"/>
            <w:vMerge w:val="restart"/>
          </w:tcPr>
          <w:p w14:paraId="3B73EC70" w14:textId="185DF0FA" w:rsidR="00F95165" w:rsidRPr="00526E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80" w:type="dxa"/>
            <w:vMerge w:val="restart"/>
          </w:tcPr>
          <w:p w14:paraId="694263D8" w14:textId="5B8531D0" w:rsidR="00F95165" w:rsidRPr="00526E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vMerge w:val="restart"/>
          </w:tcPr>
          <w:p w14:paraId="32FD4989" w14:textId="77777777" w:rsidR="00F95165" w:rsidRPr="00576C29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C29">
              <w:rPr>
                <w:rFonts w:ascii="Times New Roman" w:hAnsi="Times New Roman" w:cs="Times New Roman"/>
                <w:sz w:val="24"/>
              </w:rPr>
              <w:t>управление капитального строительства</w:t>
            </w:r>
            <w:r>
              <w:rPr>
                <w:rFonts w:ascii="Times New Roman" w:hAnsi="Times New Roman" w:cs="Times New Roman"/>
                <w:sz w:val="24"/>
              </w:rPr>
              <w:t>, управление земельных и имущественных отношений</w:t>
            </w:r>
          </w:p>
        </w:tc>
      </w:tr>
      <w:tr w:rsidR="00F95165" w14:paraId="32E55D27" w14:textId="77777777" w:rsidTr="00B13ECF">
        <w:tc>
          <w:tcPr>
            <w:tcW w:w="664" w:type="dxa"/>
          </w:tcPr>
          <w:p w14:paraId="65C1CAA2" w14:textId="77777777" w:rsidR="00F95165" w:rsidRPr="00DF4A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</w:t>
            </w:r>
          </w:p>
        </w:tc>
        <w:tc>
          <w:tcPr>
            <w:tcW w:w="4439" w:type="dxa"/>
            <w:vAlign w:val="center"/>
          </w:tcPr>
          <w:p w14:paraId="5687871C" w14:textId="77777777" w:rsidR="00F95165" w:rsidRPr="000D68ED" w:rsidRDefault="00F95165" w:rsidP="007704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опубликования на сайтах муниципальных образований в информационно-телекоммуникационной сети «Интернет», в том числе на картографической основе:</w:t>
            </w:r>
            <w:r w:rsidRPr="000D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– актуальных планов формирования и предоставления прав на земельные </w:t>
            </w:r>
            <w:r w:rsidRPr="000D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участки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жилья;</w:t>
            </w:r>
            <w:r w:rsidRPr="000D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актуальных планов по созданию объектов инфраструктуры в том числе на картографической основе.</w:t>
            </w:r>
          </w:p>
        </w:tc>
        <w:tc>
          <w:tcPr>
            <w:tcW w:w="1418" w:type="dxa"/>
            <w:gridSpan w:val="2"/>
            <w:vMerge/>
          </w:tcPr>
          <w:p w14:paraId="28572A58" w14:textId="77777777" w:rsidR="00F95165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14:paraId="33003E66" w14:textId="77777777" w:rsidR="00F95165" w:rsidRPr="00B86874" w:rsidRDefault="00F95165" w:rsidP="00F951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gridSpan w:val="2"/>
            <w:vMerge/>
          </w:tcPr>
          <w:p w14:paraId="2B668D06" w14:textId="77777777" w:rsidR="00F95165" w:rsidRPr="00B86874" w:rsidRDefault="00F95165" w:rsidP="00F951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gridSpan w:val="2"/>
            <w:vMerge/>
          </w:tcPr>
          <w:p w14:paraId="183CDAFA" w14:textId="77777777" w:rsidR="00F95165" w:rsidRPr="00526E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71A95A58" w14:textId="77777777" w:rsidR="00F95165" w:rsidRPr="00526E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08FBE4A6" w14:textId="77777777" w:rsidR="00F95165" w:rsidRPr="00526E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vMerge/>
          </w:tcPr>
          <w:p w14:paraId="427F5F63" w14:textId="77777777" w:rsidR="00F95165" w:rsidRPr="00526E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2B7B43D0" w14:textId="77777777" w:rsidR="00F95165" w:rsidRPr="00576C29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5165" w14:paraId="6342914D" w14:textId="77777777" w:rsidTr="00B13ECF">
        <w:tc>
          <w:tcPr>
            <w:tcW w:w="664" w:type="dxa"/>
          </w:tcPr>
          <w:p w14:paraId="24336BCC" w14:textId="77777777" w:rsidR="00F95165" w:rsidRPr="00DF4A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</w:t>
            </w:r>
          </w:p>
        </w:tc>
        <w:tc>
          <w:tcPr>
            <w:tcW w:w="4439" w:type="dxa"/>
            <w:vAlign w:val="center"/>
          </w:tcPr>
          <w:p w14:paraId="63BB47A6" w14:textId="77777777" w:rsidR="00F95165" w:rsidRPr="000D68ED" w:rsidRDefault="00F95165" w:rsidP="007704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строительство  </w:t>
            </w:r>
          </w:p>
        </w:tc>
        <w:tc>
          <w:tcPr>
            <w:tcW w:w="1418" w:type="dxa"/>
            <w:gridSpan w:val="2"/>
            <w:vMerge/>
          </w:tcPr>
          <w:p w14:paraId="22B8A3A4" w14:textId="77777777" w:rsidR="00F95165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14:paraId="206A997B" w14:textId="77777777" w:rsidR="00F95165" w:rsidRPr="00B86874" w:rsidRDefault="00F95165" w:rsidP="00F951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gridSpan w:val="2"/>
            <w:vMerge/>
          </w:tcPr>
          <w:p w14:paraId="348EC16D" w14:textId="77777777" w:rsidR="00F95165" w:rsidRPr="00B86874" w:rsidRDefault="00F95165" w:rsidP="00F951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gridSpan w:val="2"/>
            <w:vMerge/>
          </w:tcPr>
          <w:p w14:paraId="639F3FD9" w14:textId="77777777" w:rsidR="00F95165" w:rsidRPr="00526E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6F614C15" w14:textId="77777777" w:rsidR="00F95165" w:rsidRPr="00526E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</w:tcPr>
          <w:p w14:paraId="02B0C32F" w14:textId="77777777" w:rsidR="00F95165" w:rsidRPr="00526E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vMerge/>
          </w:tcPr>
          <w:p w14:paraId="523C97CC" w14:textId="77777777" w:rsidR="00F95165" w:rsidRPr="00526E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79985004" w14:textId="77777777" w:rsidR="00F95165" w:rsidRPr="00576C29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5165" w14:paraId="70078688" w14:textId="77777777" w:rsidTr="00B13ECF">
        <w:tc>
          <w:tcPr>
            <w:tcW w:w="664" w:type="dxa"/>
          </w:tcPr>
          <w:p w14:paraId="0BCD2DE3" w14:textId="77777777" w:rsidR="00F95165" w:rsidRPr="00DF4A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</w:t>
            </w:r>
          </w:p>
        </w:tc>
        <w:tc>
          <w:tcPr>
            <w:tcW w:w="4439" w:type="dxa"/>
            <w:vAlign w:val="center"/>
          </w:tcPr>
          <w:p w14:paraId="59661B0E" w14:textId="77777777" w:rsidR="00F95165" w:rsidRPr="000D68ED" w:rsidRDefault="00F95165" w:rsidP="007704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 приватизации предприятий, учреждений, хозяйственных обществ с государственным участием, осуществляющих деятельность сфере жилищного строительства</w:t>
            </w:r>
          </w:p>
        </w:tc>
        <w:tc>
          <w:tcPr>
            <w:tcW w:w="1418" w:type="dxa"/>
            <w:gridSpan w:val="2"/>
            <w:vMerge/>
          </w:tcPr>
          <w:p w14:paraId="3D28CDC4" w14:textId="77777777" w:rsidR="00F95165" w:rsidRDefault="00F95165" w:rsidP="00F95165">
            <w:pPr>
              <w:jc w:val="center"/>
            </w:pPr>
          </w:p>
        </w:tc>
        <w:tc>
          <w:tcPr>
            <w:tcW w:w="2835" w:type="dxa"/>
            <w:vMerge/>
          </w:tcPr>
          <w:p w14:paraId="616A9E56" w14:textId="77777777" w:rsidR="00F95165" w:rsidRDefault="00F95165" w:rsidP="00F95165">
            <w:pPr>
              <w:jc w:val="center"/>
            </w:pPr>
          </w:p>
        </w:tc>
        <w:tc>
          <w:tcPr>
            <w:tcW w:w="1419" w:type="dxa"/>
            <w:gridSpan w:val="2"/>
            <w:vMerge/>
          </w:tcPr>
          <w:p w14:paraId="524923AE" w14:textId="77777777" w:rsidR="00F95165" w:rsidRDefault="00F95165" w:rsidP="00F95165">
            <w:pPr>
              <w:jc w:val="center"/>
            </w:pPr>
          </w:p>
        </w:tc>
        <w:tc>
          <w:tcPr>
            <w:tcW w:w="1068" w:type="dxa"/>
            <w:gridSpan w:val="2"/>
            <w:vMerge/>
          </w:tcPr>
          <w:p w14:paraId="5AEAAD44" w14:textId="77777777" w:rsidR="00F95165" w:rsidRDefault="00F95165" w:rsidP="00F95165">
            <w:pPr>
              <w:jc w:val="center"/>
            </w:pPr>
          </w:p>
        </w:tc>
        <w:tc>
          <w:tcPr>
            <w:tcW w:w="776" w:type="dxa"/>
            <w:gridSpan w:val="2"/>
            <w:vMerge/>
          </w:tcPr>
          <w:p w14:paraId="7805E87C" w14:textId="77777777" w:rsidR="00F95165" w:rsidRDefault="00F95165" w:rsidP="00F95165">
            <w:pPr>
              <w:jc w:val="center"/>
            </w:pPr>
          </w:p>
        </w:tc>
        <w:tc>
          <w:tcPr>
            <w:tcW w:w="776" w:type="dxa"/>
            <w:gridSpan w:val="2"/>
            <w:vMerge/>
          </w:tcPr>
          <w:p w14:paraId="15B4D4A3" w14:textId="77777777" w:rsidR="00F95165" w:rsidRDefault="00F95165" w:rsidP="00F95165">
            <w:pPr>
              <w:jc w:val="center"/>
            </w:pPr>
          </w:p>
        </w:tc>
        <w:tc>
          <w:tcPr>
            <w:tcW w:w="780" w:type="dxa"/>
            <w:vMerge/>
          </w:tcPr>
          <w:p w14:paraId="554E20CB" w14:textId="77777777" w:rsidR="00F95165" w:rsidRDefault="00F95165" w:rsidP="00F95165">
            <w:pPr>
              <w:jc w:val="center"/>
            </w:pPr>
          </w:p>
        </w:tc>
        <w:tc>
          <w:tcPr>
            <w:tcW w:w="1701" w:type="dxa"/>
            <w:vMerge/>
          </w:tcPr>
          <w:p w14:paraId="314CF2B3" w14:textId="77777777" w:rsidR="00F95165" w:rsidRDefault="00F95165" w:rsidP="00F95165">
            <w:pPr>
              <w:jc w:val="center"/>
            </w:pPr>
          </w:p>
        </w:tc>
      </w:tr>
      <w:tr w:rsidR="00F95165" w14:paraId="63D7BB03" w14:textId="77777777" w:rsidTr="00CC7A7B">
        <w:tc>
          <w:tcPr>
            <w:tcW w:w="15876" w:type="dxa"/>
            <w:gridSpan w:val="15"/>
          </w:tcPr>
          <w:p w14:paraId="6BC0F083" w14:textId="77777777" w:rsidR="00F95165" w:rsidRPr="001D4424" w:rsidRDefault="00F95165" w:rsidP="00F9516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24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F95165" w14:paraId="0B0B0A15" w14:textId="77777777" w:rsidTr="00CC7A7B">
        <w:tc>
          <w:tcPr>
            <w:tcW w:w="15876" w:type="dxa"/>
            <w:gridSpan w:val="15"/>
          </w:tcPr>
          <w:p w14:paraId="1E4870E3" w14:textId="528FAC66" w:rsidR="00F95165" w:rsidRPr="00181903" w:rsidRDefault="00181903" w:rsidP="00181903">
            <w:pPr>
              <w:pStyle w:val="a4"/>
              <w:ind w:left="0" w:firstLine="77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03">
              <w:rPr>
                <w:rFonts w:ascii="Times New Roman" w:hAnsi="Times New Roman" w:cs="Times New Roman"/>
                <w:bCs/>
                <w:sz w:val="24"/>
                <w:szCs w:val="24"/>
              </w:rPr>
              <w:t>По территории района проходят две автодороги: федерального значения «Вятка» «Киров-Сыктывкар» и республиканского значения «Сыктывкар – Ухта», имеется железнодорожная станция Язель. Протяженность автомобильных дорог муниципального района составляет 452 км, из них: федерального значения – 57,5 км, республиканского – 157,7 км, местного – 211,7 км.</w:t>
            </w:r>
          </w:p>
          <w:p w14:paraId="23168419" w14:textId="77777777" w:rsidR="00181903" w:rsidRPr="00181903" w:rsidRDefault="00181903" w:rsidP="00181903">
            <w:pPr>
              <w:pStyle w:val="a4"/>
              <w:ind w:left="0" w:firstLine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03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на территории муниципального района в сфере дорожного хозяйства осуществляют деятельность 1 индивидуальный предприниматель. Большую часть услуг (ремон, обслуживание, строительство дорог) в сфере дорожного хозяйства оказывают предприятия, расположенные на территории МО ГО «Сыктывкар».</w:t>
            </w:r>
          </w:p>
          <w:p w14:paraId="004787A8" w14:textId="6D2D63BC" w:rsidR="00181903" w:rsidRPr="00181903" w:rsidRDefault="00181903" w:rsidP="00181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дорожного хозяйства, предусматривающее в том числе развитие сети автомобильных дорог общего пользования в муниципальном районе, обеспечение ее устойчивого функционирования, повышения эффективности управления и безопасности дорожного движения, 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181903">
              <w:rPr>
                <w:rFonts w:ascii="Times New Roman" w:hAnsi="Times New Roman" w:cs="Times New Roman"/>
                <w:sz w:val="24"/>
                <w:szCs w:val="24"/>
              </w:rPr>
              <w:t xml:space="preserve"> из приоритетны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190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18190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инфраструктурной обеспеченности района, которая будет закреплена в </w:t>
            </w:r>
            <w:hyperlink r:id="rId14" w:history="1">
              <w:r w:rsidRPr="00181903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  <w:r w:rsidRPr="0018190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МО МР «Сыктывдинский» на период до 2035 года.</w:t>
            </w:r>
          </w:p>
          <w:p w14:paraId="532BFB04" w14:textId="77777777" w:rsidR="00181903" w:rsidRPr="00181903" w:rsidRDefault="00181903" w:rsidP="00181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</w:t>
            </w:r>
          </w:p>
          <w:p w14:paraId="2CB085D5" w14:textId="16186960" w:rsidR="00181903" w:rsidRPr="00181903" w:rsidRDefault="00181903" w:rsidP="00181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81903">
              <w:rPr>
                <w:rFonts w:ascii="Times New Roman" w:hAnsi="Times New Roman" w:cs="Times New Roman"/>
                <w:sz w:val="24"/>
                <w:szCs w:val="24"/>
              </w:rPr>
              <w:t xml:space="preserve"> стабильн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81903">
              <w:rPr>
                <w:rFonts w:ascii="Times New Roman" w:hAnsi="Times New Roman" w:cs="Times New Roman"/>
                <w:sz w:val="24"/>
                <w:szCs w:val="24"/>
              </w:rPr>
              <w:t xml:space="preserve"> рост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1903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потребителей доступностью объектов транспортной инфраструктуры;</w:t>
            </w:r>
          </w:p>
        </w:tc>
      </w:tr>
      <w:tr w:rsidR="00F95165" w14:paraId="4BDFA435" w14:textId="77777777" w:rsidTr="00CC7A7B">
        <w:tc>
          <w:tcPr>
            <w:tcW w:w="664" w:type="dxa"/>
          </w:tcPr>
          <w:p w14:paraId="662E51CE" w14:textId="77777777" w:rsidR="00F95165" w:rsidRPr="00DF4A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AF7">
              <w:rPr>
                <w:rFonts w:ascii="Times New Roman" w:hAnsi="Times New Roman" w:cs="Times New Roman"/>
                <w:sz w:val="24"/>
              </w:rPr>
              <w:lastRenderedPageBreak/>
              <w:t>11.1</w:t>
            </w:r>
          </w:p>
        </w:tc>
        <w:tc>
          <w:tcPr>
            <w:tcW w:w="4526" w:type="dxa"/>
            <w:gridSpan w:val="2"/>
          </w:tcPr>
          <w:p w14:paraId="1A05455F" w14:textId="77777777" w:rsidR="00F95165" w:rsidRPr="001E7353" w:rsidRDefault="00F95165" w:rsidP="00F951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E7353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рекомендованного уровня ключевого показателя</w:t>
            </w:r>
          </w:p>
        </w:tc>
        <w:tc>
          <w:tcPr>
            <w:tcW w:w="1331" w:type="dxa"/>
            <w:vMerge w:val="restart"/>
          </w:tcPr>
          <w:p w14:paraId="574318D0" w14:textId="77777777" w:rsidR="00F95165" w:rsidRPr="001D4424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2019-2022</w:t>
            </w:r>
          </w:p>
          <w:p w14:paraId="441BD275" w14:textId="77777777" w:rsidR="00F95165" w:rsidRPr="001D4424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 w:val="restart"/>
          </w:tcPr>
          <w:p w14:paraId="7A65A5BF" w14:textId="77777777" w:rsidR="00F95165" w:rsidRPr="001E7353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7353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373" w:type="dxa"/>
            <w:vMerge w:val="restart"/>
          </w:tcPr>
          <w:p w14:paraId="28948906" w14:textId="77777777" w:rsidR="00F95165" w:rsidRPr="001E7353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101" w:type="dxa"/>
            <w:gridSpan w:val="2"/>
            <w:vMerge w:val="restart"/>
          </w:tcPr>
          <w:p w14:paraId="65596FBD" w14:textId="77777777" w:rsidR="00F95165" w:rsidRPr="00526E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gridSpan w:val="2"/>
            <w:vMerge w:val="restart"/>
          </w:tcPr>
          <w:p w14:paraId="33208738" w14:textId="77777777" w:rsidR="00F95165" w:rsidRPr="00526E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  <w:gridSpan w:val="2"/>
            <w:vMerge w:val="restart"/>
          </w:tcPr>
          <w:p w14:paraId="01F035DB" w14:textId="77777777" w:rsidR="00F95165" w:rsidRPr="00526EF7" w:rsidRDefault="00F95165" w:rsidP="00F9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gridSpan w:val="2"/>
            <w:vMerge w:val="restart"/>
          </w:tcPr>
          <w:p w14:paraId="774EC31C" w14:textId="77777777" w:rsidR="00F95165" w:rsidRPr="00526E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</w:tcPr>
          <w:p w14:paraId="5AD985DC" w14:textId="77777777" w:rsidR="00F95165" w:rsidRDefault="006A6FD7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2F2D52" w:rsidRPr="00377160">
              <w:rPr>
                <w:rFonts w:ascii="Times New Roman" w:hAnsi="Times New Roman" w:cs="Times New Roman"/>
                <w:sz w:val="24"/>
              </w:rPr>
              <w:t>правление жилищно-коммунального хозяйства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239FFDFD" w14:textId="7AEC5A66" w:rsidR="006A6FD7" w:rsidRPr="00377160" w:rsidRDefault="006A6FD7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капитального строительства</w:t>
            </w:r>
          </w:p>
        </w:tc>
      </w:tr>
      <w:tr w:rsidR="00F95165" w14:paraId="53BF1516" w14:textId="77777777" w:rsidTr="00CC7A7B">
        <w:tc>
          <w:tcPr>
            <w:tcW w:w="664" w:type="dxa"/>
          </w:tcPr>
          <w:p w14:paraId="5DAB622A" w14:textId="77777777" w:rsidR="00F95165" w:rsidRPr="00DF4A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AF7">
              <w:rPr>
                <w:rFonts w:ascii="Times New Roman" w:hAnsi="Times New Roman" w:cs="Times New Roman"/>
                <w:sz w:val="24"/>
              </w:rPr>
              <w:t>11.2</w:t>
            </w:r>
          </w:p>
        </w:tc>
        <w:tc>
          <w:tcPr>
            <w:tcW w:w="4526" w:type="dxa"/>
            <w:gridSpan w:val="2"/>
          </w:tcPr>
          <w:p w14:paraId="12E1C817" w14:textId="31A3EDAC" w:rsidR="00F95165" w:rsidRPr="00CC7A7B" w:rsidRDefault="00F95165" w:rsidP="00F95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сектора </w:t>
            </w:r>
            <w:r w:rsidR="00B46EDC">
              <w:rPr>
                <w:rFonts w:ascii="Times New Roman" w:hAnsi="Times New Roman" w:cs="Times New Roman"/>
                <w:sz w:val="24"/>
                <w:szCs w:val="24"/>
              </w:rPr>
              <w:t>немуниципальных подрядчиков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рынке дорожного строительства. Создание условий для развития дорожного строительства.</w:t>
            </w:r>
          </w:p>
        </w:tc>
        <w:tc>
          <w:tcPr>
            <w:tcW w:w="1331" w:type="dxa"/>
            <w:vMerge/>
          </w:tcPr>
          <w:p w14:paraId="7AC5E43B" w14:textId="77777777" w:rsidR="00F95165" w:rsidRPr="001D4424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14:paraId="14D1AF63" w14:textId="77777777" w:rsidR="00F95165" w:rsidRPr="001E7353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3" w:type="dxa"/>
            <w:vMerge/>
          </w:tcPr>
          <w:p w14:paraId="4B42177F" w14:textId="77777777" w:rsidR="00F95165" w:rsidRPr="001E7353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gridSpan w:val="2"/>
            <w:vMerge/>
          </w:tcPr>
          <w:p w14:paraId="418C3542" w14:textId="77777777" w:rsidR="00F95165" w:rsidRPr="001E7353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7" w:type="dxa"/>
            <w:gridSpan w:val="2"/>
            <w:vMerge/>
          </w:tcPr>
          <w:p w14:paraId="3AE401D0" w14:textId="77777777" w:rsidR="00F95165" w:rsidRPr="001E7353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2" w:type="dxa"/>
            <w:gridSpan w:val="2"/>
            <w:vMerge/>
          </w:tcPr>
          <w:p w14:paraId="5826646C" w14:textId="77777777" w:rsidR="00F95165" w:rsidRPr="001E7353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6" w:type="dxa"/>
            <w:gridSpan w:val="2"/>
            <w:vMerge/>
          </w:tcPr>
          <w:p w14:paraId="53E77799" w14:textId="77777777" w:rsidR="00F95165" w:rsidRPr="001E7353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14:paraId="71E405CA" w14:textId="77777777" w:rsidR="00F95165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95165" w14:paraId="358CD7B1" w14:textId="77777777" w:rsidTr="00CC7A7B">
        <w:tc>
          <w:tcPr>
            <w:tcW w:w="664" w:type="dxa"/>
          </w:tcPr>
          <w:p w14:paraId="6498CCD3" w14:textId="77777777" w:rsidR="00F95165" w:rsidRPr="00DF4A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AF7">
              <w:rPr>
                <w:rFonts w:ascii="Times New Roman" w:hAnsi="Times New Roman" w:cs="Times New Roman"/>
                <w:sz w:val="24"/>
              </w:rPr>
              <w:t>11.3</w:t>
            </w:r>
          </w:p>
        </w:tc>
        <w:tc>
          <w:tcPr>
            <w:tcW w:w="4526" w:type="dxa"/>
            <w:gridSpan w:val="2"/>
          </w:tcPr>
          <w:p w14:paraId="54F6A0B4" w14:textId="04BD53A2" w:rsidR="00F95165" w:rsidRPr="001E7353" w:rsidRDefault="00F95165" w:rsidP="00F951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6A6FD7">
              <w:rPr>
                <w:rFonts w:ascii="Times New Roman" w:hAnsi="Times New Roman" w:cs="Times New Roman"/>
                <w:sz w:val="24"/>
                <w:szCs w:val="24"/>
              </w:rPr>
              <w:t>аукционов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выполнение дорожного строительства.</w:t>
            </w:r>
          </w:p>
        </w:tc>
        <w:tc>
          <w:tcPr>
            <w:tcW w:w="1331" w:type="dxa"/>
            <w:vMerge/>
          </w:tcPr>
          <w:p w14:paraId="1480025E" w14:textId="77777777" w:rsidR="00F95165" w:rsidRPr="001D4424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14:paraId="0DE795FC" w14:textId="77777777" w:rsidR="00F95165" w:rsidRPr="001E7353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3" w:type="dxa"/>
            <w:vMerge/>
          </w:tcPr>
          <w:p w14:paraId="0871A31E" w14:textId="77777777" w:rsidR="00F95165" w:rsidRPr="001E7353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gridSpan w:val="2"/>
            <w:vMerge/>
          </w:tcPr>
          <w:p w14:paraId="0A8B5CB7" w14:textId="77777777" w:rsidR="00F95165" w:rsidRPr="001E7353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7" w:type="dxa"/>
            <w:gridSpan w:val="2"/>
            <w:vMerge/>
          </w:tcPr>
          <w:p w14:paraId="1F708F68" w14:textId="77777777" w:rsidR="00F95165" w:rsidRPr="001E7353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2" w:type="dxa"/>
            <w:gridSpan w:val="2"/>
            <w:vMerge/>
          </w:tcPr>
          <w:p w14:paraId="3C3A41BA" w14:textId="77777777" w:rsidR="00F95165" w:rsidRPr="001E7353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6" w:type="dxa"/>
            <w:gridSpan w:val="2"/>
            <w:vMerge/>
          </w:tcPr>
          <w:p w14:paraId="21F85836" w14:textId="77777777" w:rsidR="00F95165" w:rsidRPr="001E7353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14:paraId="4F5CC8B6" w14:textId="77777777" w:rsidR="00F95165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95165" w14:paraId="3F8B4A47" w14:textId="77777777" w:rsidTr="00CC7A7B">
        <w:tc>
          <w:tcPr>
            <w:tcW w:w="15876" w:type="dxa"/>
            <w:gridSpan w:val="15"/>
          </w:tcPr>
          <w:p w14:paraId="773B7884" w14:textId="77777777" w:rsidR="00F95165" w:rsidRPr="001D4424" w:rsidRDefault="00F95165" w:rsidP="00F951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424">
              <w:rPr>
                <w:rFonts w:ascii="Times New Roman" w:hAnsi="Times New Roman" w:cs="Times New Roman"/>
                <w:b/>
                <w:sz w:val="24"/>
              </w:rPr>
              <w:t>Сфера наружной рекламы</w:t>
            </w:r>
          </w:p>
        </w:tc>
      </w:tr>
      <w:tr w:rsidR="00F95165" w14:paraId="109DA9D9" w14:textId="77777777" w:rsidTr="00CC7A7B">
        <w:tc>
          <w:tcPr>
            <w:tcW w:w="15876" w:type="dxa"/>
            <w:gridSpan w:val="15"/>
          </w:tcPr>
          <w:p w14:paraId="73FC961A" w14:textId="618EAC64" w:rsidR="007704D5" w:rsidRPr="00B7296A" w:rsidRDefault="007704D5" w:rsidP="00770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>Состояние конкурентной среды на рынке услуг в сфере наружной рекламы характеризуется присутствием на рынке организаций исключительно частной формы собственности</w:t>
            </w:r>
            <w:r w:rsidR="00B7296A" w:rsidRPr="00B7296A">
              <w:rPr>
                <w:rFonts w:ascii="Times New Roman" w:hAnsi="Times New Roman" w:cs="Times New Roman"/>
                <w:sz w:val="24"/>
                <w:szCs w:val="24"/>
              </w:rPr>
              <w:t xml:space="preserve"> (2 предприятия)</w:t>
            </w: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B7C3D" w14:textId="119BB479" w:rsidR="00B7296A" w:rsidRDefault="007704D5" w:rsidP="00770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15" w:history="1">
              <w:r w:rsidRPr="002F2D52">
                <w:rPr>
                  <w:rFonts w:ascii="Times New Roman" w:hAnsi="Times New Roman" w:cs="Times New Roman"/>
                  <w:sz w:val="24"/>
                  <w:szCs w:val="24"/>
                </w:rPr>
                <w:t>Стандартом</w:t>
              </w:r>
            </w:hyperlink>
            <w:r w:rsidRPr="00B729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 в субъектах Российской Федерации, утвержденным распоряжением Правительства Российской Федерации от 17.04.2019 </w:t>
            </w:r>
            <w:r w:rsidR="002F2D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 xml:space="preserve"> 768-р, для регионов определена необходимость достижения в сфере наружной рекламы минимальной доли присутствия организаций частной формы собственности на уровне 100% к 01.01.2022.</w:t>
            </w:r>
          </w:p>
          <w:p w14:paraId="29DD6B28" w14:textId="06302D6F" w:rsidR="007704D5" w:rsidRPr="00B7296A" w:rsidRDefault="00B7296A" w:rsidP="00770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муниципального района осуществляется только разработка схемы размещения рекламных конструкций и контроль за не законной их установкой.  </w:t>
            </w:r>
            <w:r w:rsidR="007704D5" w:rsidRPr="00B7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649DF9" w14:textId="77777777" w:rsidR="007704D5" w:rsidRPr="00B7296A" w:rsidRDefault="007704D5" w:rsidP="00770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</w:t>
            </w:r>
          </w:p>
          <w:p w14:paraId="1429548F" w14:textId="3C2489BA" w:rsidR="00F95165" w:rsidRPr="001D4424" w:rsidRDefault="007704D5" w:rsidP="007704D5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>- создан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конкуренции на рынке</w:t>
            </w:r>
          </w:p>
        </w:tc>
      </w:tr>
      <w:tr w:rsidR="00F95165" w14:paraId="0A377B48" w14:textId="77777777" w:rsidTr="00CC7A7B">
        <w:tc>
          <w:tcPr>
            <w:tcW w:w="664" w:type="dxa"/>
          </w:tcPr>
          <w:p w14:paraId="5DAD560A" w14:textId="77777777" w:rsidR="00F95165" w:rsidRPr="00DF4A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AF7">
              <w:rPr>
                <w:rFonts w:ascii="Times New Roman" w:hAnsi="Times New Roman" w:cs="Times New Roman"/>
                <w:sz w:val="24"/>
              </w:rPr>
              <w:t>12.1</w:t>
            </w:r>
          </w:p>
        </w:tc>
        <w:tc>
          <w:tcPr>
            <w:tcW w:w="4526" w:type="dxa"/>
            <w:gridSpan w:val="2"/>
          </w:tcPr>
          <w:p w14:paraId="5DCAAC13" w14:textId="77777777" w:rsidR="00F95165" w:rsidRPr="00035627" w:rsidRDefault="00F95165" w:rsidP="00F951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 </w:t>
            </w:r>
          </w:p>
        </w:tc>
        <w:tc>
          <w:tcPr>
            <w:tcW w:w="1331" w:type="dxa"/>
            <w:vMerge w:val="restart"/>
          </w:tcPr>
          <w:p w14:paraId="4D7026EA" w14:textId="77777777" w:rsidR="002F2D52" w:rsidRPr="001E7353" w:rsidRDefault="002F2D52" w:rsidP="002F2D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  <w:p w14:paraId="61A48FCF" w14:textId="77777777" w:rsidR="00F95165" w:rsidRPr="001E7353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vMerge w:val="restart"/>
          </w:tcPr>
          <w:p w14:paraId="012DE0BA" w14:textId="77777777" w:rsidR="00F95165" w:rsidRPr="00035627" w:rsidRDefault="00F95165" w:rsidP="00F95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62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  <w:p w14:paraId="581301F5" w14:textId="77777777" w:rsidR="00F95165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3" w:type="dxa"/>
            <w:vMerge w:val="restart"/>
          </w:tcPr>
          <w:p w14:paraId="6C3EEB4B" w14:textId="2249C178" w:rsidR="00F95165" w:rsidRPr="002A365C" w:rsidRDefault="002F2D52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365C">
              <w:rPr>
                <w:rFonts w:ascii="Times New Roman" w:hAnsi="Times New Roman" w:cs="Times New Roman"/>
                <w:sz w:val="24"/>
              </w:rPr>
              <w:t>Процент</w:t>
            </w:r>
            <w:r w:rsidR="00F95165" w:rsidRPr="002A365C">
              <w:rPr>
                <w:rFonts w:ascii="Times New Roman" w:hAnsi="Times New Roman" w:cs="Times New Roman"/>
                <w:sz w:val="24"/>
              </w:rPr>
              <w:t>ы</w:t>
            </w:r>
          </w:p>
          <w:p w14:paraId="44D59900" w14:textId="77777777" w:rsidR="00F95165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gridSpan w:val="2"/>
            <w:vMerge w:val="restart"/>
          </w:tcPr>
          <w:p w14:paraId="515B7F79" w14:textId="77777777" w:rsidR="00F95165" w:rsidRPr="00821FB3" w:rsidRDefault="00F95165" w:rsidP="00F95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gridSpan w:val="2"/>
            <w:vMerge w:val="restart"/>
          </w:tcPr>
          <w:p w14:paraId="3E362311" w14:textId="77777777" w:rsidR="00F95165" w:rsidRPr="00821FB3" w:rsidRDefault="00F95165" w:rsidP="00F95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  <w:gridSpan w:val="2"/>
            <w:vMerge w:val="restart"/>
          </w:tcPr>
          <w:p w14:paraId="3DEC2269" w14:textId="77777777" w:rsidR="00F95165" w:rsidRPr="00821FB3" w:rsidRDefault="00F95165" w:rsidP="00F95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gridSpan w:val="2"/>
            <w:vMerge w:val="restart"/>
          </w:tcPr>
          <w:p w14:paraId="26F0EAD1" w14:textId="77777777" w:rsidR="00F95165" w:rsidRPr="00821FB3" w:rsidRDefault="00F95165" w:rsidP="00F95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</w:tcPr>
          <w:p w14:paraId="036D1125" w14:textId="77777777" w:rsidR="00F95165" w:rsidRPr="00377160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7160">
              <w:rPr>
                <w:rFonts w:ascii="Times New Roman" w:hAnsi="Times New Roman" w:cs="Times New Roman"/>
                <w:sz w:val="24"/>
              </w:rPr>
              <w:t>управление земельных и имущественных отношений</w:t>
            </w:r>
          </w:p>
        </w:tc>
      </w:tr>
      <w:tr w:rsidR="00F95165" w14:paraId="28948B5B" w14:textId="77777777" w:rsidTr="00CC7A7B">
        <w:tc>
          <w:tcPr>
            <w:tcW w:w="664" w:type="dxa"/>
          </w:tcPr>
          <w:p w14:paraId="0D812D89" w14:textId="77777777" w:rsidR="00F95165" w:rsidRPr="00DF4A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AF7">
              <w:rPr>
                <w:rFonts w:ascii="Times New Roman" w:hAnsi="Times New Roman" w:cs="Times New Roman"/>
                <w:sz w:val="24"/>
              </w:rPr>
              <w:t>12.2</w:t>
            </w:r>
          </w:p>
        </w:tc>
        <w:tc>
          <w:tcPr>
            <w:tcW w:w="4526" w:type="dxa"/>
            <w:gridSpan w:val="2"/>
          </w:tcPr>
          <w:p w14:paraId="2FBC92F9" w14:textId="77777777" w:rsidR="00F95165" w:rsidRPr="00035627" w:rsidRDefault="00F95165" w:rsidP="00F951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и осуществление демонтажа незаконных рекламных конструкций, развитие сегмента цифровых форматов, внедрение современных и инновационных рекламоносителей</w:t>
            </w:r>
          </w:p>
        </w:tc>
        <w:tc>
          <w:tcPr>
            <w:tcW w:w="1331" w:type="dxa"/>
            <w:vMerge/>
          </w:tcPr>
          <w:p w14:paraId="705F28C1" w14:textId="77777777" w:rsidR="00F95165" w:rsidRPr="0003562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DAB6D33" w14:textId="77777777" w:rsidR="00F95165" w:rsidRPr="00035627" w:rsidRDefault="00F95165" w:rsidP="00F95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04890563" w14:textId="77777777" w:rsidR="00F95165" w:rsidRPr="002A365C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vMerge/>
          </w:tcPr>
          <w:p w14:paraId="17A061DC" w14:textId="77777777" w:rsidR="00F95165" w:rsidRPr="00821FB3" w:rsidRDefault="00F95165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Merge/>
          </w:tcPr>
          <w:p w14:paraId="7ED705EA" w14:textId="77777777" w:rsidR="00F95165" w:rsidRPr="00821FB3" w:rsidRDefault="00F95165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Merge/>
          </w:tcPr>
          <w:p w14:paraId="1A0AEFC6" w14:textId="77777777" w:rsidR="00F95165" w:rsidRPr="00821FB3" w:rsidRDefault="00F95165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</w:tcPr>
          <w:p w14:paraId="309D4BE2" w14:textId="77777777" w:rsidR="00F95165" w:rsidRPr="00821FB3" w:rsidRDefault="00F95165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D74E57C" w14:textId="77777777" w:rsidR="00F95165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95165" w14:paraId="553DDB71" w14:textId="77777777" w:rsidTr="00CC7A7B">
        <w:tc>
          <w:tcPr>
            <w:tcW w:w="664" w:type="dxa"/>
          </w:tcPr>
          <w:p w14:paraId="65B2FC92" w14:textId="77777777" w:rsidR="00F95165" w:rsidRPr="00DF4A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AF7">
              <w:rPr>
                <w:rFonts w:ascii="Times New Roman" w:hAnsi="Times New Roman" w:cs="Times New Roman"/>
                <w:sz w:val="24"/>
              </w:rPr>
              <w:t>12.3</w:t>
            </w:r>
          </w:p>
        </w:tc>
        <w:tc>
          <w:tcPr>
            <w:tcW w:w="4526" w:type="dxa"/>
            <w:gridSpan w:val="2"/>
          </w:tcPr>
          <w:p w14:paraId="1E905711" w14:textId="77777777" w:rsidR="00F95165" w:rsidRPr="00846C1F" w:rsidRDefault="00F95165" w:rsidP="00F951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схем размещения рекламных конструкций</w:t>
            </w:r>
          </w:p>
        </w:tc>
        <w:tc>
          <w:tcPr>
            <w:tcW w:w="1331" w:type="dxa"/>
            <w:vMerge/>
          </w:tcPr>
          <w:p w14:paraId="2268DB7A" w14:textId="77777777" w:rsidR="00F95165" w:rsidRPr="0003562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BB8A8EB" w14:textId="77777777" w:rsidR="00F95165" w:rsidRPr="00035627" w:rsidRDefault="00F95165" w:rsidP="00F95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663511CA" w14:textId="77777777" w:rsidR="00F95165" w:rsidRPr="002A365C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vMerge/>
          </w:tcPr>
          <w:p w14:paraId="1CF86B18" w14:textId="77777777" w:rsidR="00F95165" w:rsidRPr="00821FB3" w:rsidRDefault="00F95165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Merge/>
          </w:tcPr>
          <w:p w14:paraId="0131431A" w14:textId="77777777" w:rsidR="00F95165" w:rsidRPr="00821FB3" w:rsidRDefault="00F95165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Merge/>
          </w:tcPr>
          <w:p w14:paraId="59E7E594" w14:textId="77777777" w:rsidR="00F95165" w:rsidRPr="00821FB3" w:rsidRDefault="00F95165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</w:tcPr>
          <w:p w14:paraId="305F5441" w14:textId="77777777" w:rsidR="00F95165" w:rsidRPr="00821FB3" w:rsidRDefault="00F95165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4301FB9" w14:textId="77777777" w:rsidR="00F95165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95165" w14:paraId="33DF0FB1" w14:textId="77777777" w:rsidTr="00CC7A7B">
        <w:tc>
          <w:tcPr>
            <w:tcW w:w="664" w:type="dxa"/>
          </w:tcPr>
          <w:p w14:paraId="411852B8" w14:textId="77777777" w:rsidR="00F95165" w:rsidRPr="00DF4AF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AF7">
              <w:rPr>
                <w:rFonts w:ascii="Times New Roman" w:hAnsi="Times New Roman" w:cs="Times New Roman"/>
                <w:sz w:val="24"/>
              </w:rPr>
              <w:t>12.4</w:t>
            </w:r>
          </w:p>
        </w:tc>
        <w:tc>
          <w:tcPr>
            <w:tcW w:w="4526" w:type="dxa"/>
            <w:gridSpan w:val="2"/>
          </w:tcPr>
          <w:p w14:paraId="5D2A406C" w14:textId="77777777" w:rsidR="00F95165" w:rsidRPr="00846C1F" w:rsidRDefault="00F95165" w:rsidP="00F951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официальных сайтах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ОМСУ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1331" w:type="dxa"/>
            <w:vMerge/>
          </w:tcPr>
          <w:p w14:paraId="38F6586F" w14:textId="77777777" w:rsidR="00F95165" w:rsidRPr="00035627" w:rsidRDefault="00F95165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DAB7510" w14:textId="77777777" w:rsidR="00F95165" w:rsidRPr="00035627" w:rsidRDefault="00F95165" w:rsidP="00F95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14:paraId="15B6BF61" w14:textId="77777777" w:rsidR="00F95165" w:rsidRPr="002A365C" w:rsidRDefault="00F95165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vMerge/>
          </w:tcPr>
          <w:p w14:paraId="1ED8BA8A" w14:textId="77777777" w:rsidR="00F95165" w:rsidRPr="00821FB3" w:rsidRDefault="00F95165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Merge/>
          </w:tcPr>
          <w:p w14:paraId="7B7912DA" w14:textId="77777777" w:rsidR="00F95165" w:rsidRPr="00821FB3" w:rsidRDefault="00F95165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Merge/>
          </w:tcPr>
          <w:p w14:paraId="6ED5236A" w14:textId="77777777" w:rsidR="00F95165" w:rsidRPr="00821FB3" w:rsidRDefault="00F95165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</w:tcPr>
          <w:p w14:paraId="01BC7AD8" w14:textId="77777777" w:rsidR="00F95165" w:rsidRPr="00821FB3" w:rsidRDefault="00F95165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6C16226" w14:textId="77777777" w:rsidR="00F95165" w:rsidRDefault="00F95165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F2D52" w14:paraId="53FD645E" w14:textId="77777777" w:rsidTr="00391C78">
        <w:tc>
          <w:tcPr>
            <w:tcW w:w="15876" w:type="dxa"/>
            <w:gridSpan w:val="15"/>
          </w:tcPr>
          <w:p w14:paraId="2F3D0BE0" w14:textId="1D72E312" w:rsidR="002F2D52" w:rsidRPr="002F2D52" w:rsidRDefault="002F2D52" w:rsidP="002F2D5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2F2D52" w14:paraId="080AB3BA" w14:textId="77777777" w:rsidTr="00EA72B7">
        <w:tc>
          <w:tcPr>
            <w:tcW w:w="15876" w:type="dxa"/>
            <w:gridSpan w:val="15"/>
          </w:tcPr>
          <w:p w14:paraId="4B0A7C39" w14:textId="77777777" w:rsidR="00C14252" w:rsidRPr="00AA4CA3" w:rsidRDefault="00C14252" w:rsidP="00C14252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A3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муниципального района расположены:</w:t>
            </w:r>
          </w:p>
          <w:p w14:paraId="6C4C8659" w14:textId="73397C01" w:rsidR="00C14252" w:rsidRPr="00AA4CA3" w:rsidRDefault="00C14252" w:rsidP="00C14252">
            <w:pPr>
              <w:pStyle w:val="a4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A3">
              <w:rPr>
                <w:rFonts w:ascii="Times New Roman" w:hAnsi="Times New Roman" w:cs="Times New Roman"/>
                <w:bCs/>
                <w:sz w:val="24"/>
                <w:szCs w:val="24"/>
              </w:rPr>
              <w:t>33 месторождения песка, общим запасом (в остатке) 72179,6 тыс. куб.м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A4CA3">
              <w:rPr>
                <w:rFonts w:ascii="Times New Roman" w:hAnsi="Times New Roman" w:cs="Times New Roman"/>
                <w:bCs/>
                <w:sz w:val="24"/>
                <w:szCs w:val="24"/>
              </w:rPr>
              <w:t>, 15 из них имеет статус – распределенные.</w:t>
            </w:r>
          </w:p>
          <w:p w14:paraId="4ECAF6E6" w14:textId="77777777" w:rsidR="00C14252" w:rsidRPr="00AA4CA3" w:rsidRDefault="00C14252" w:rsidP="00C14252">
            <w:pPr>
              <w:pStyle w:val="a4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A3">
              <w:rPr>
                <w:rFonts w:ascii="Times New Roman" w:hAnsi="Times New Roman" w:cs="Times New Roman"/>
                <w:bCs/>
                <w:sz w:val="24"/>
                <w:szCs w:val="24"/>
              </w:rPr>
              <w:t>40 торфяных месторождений с разведанными и предварительно оценёнными ресурсами торфа различных категорий, которые составляют 177713 тыс. куб.м.</w:t>
            </w:r>
          </w:p>
          <w:p w14:paraId="5B6EA50D" w14:textId="3EBED936" w:rsidR="00C14252" w:rsidRDefault="00C14252" w:rsidP="00C14252">
            <w:pPr>
              <w:pStyle w:val="a4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CA3">
              <w:rPr>
                <w:rFonts w:ascii="Times New Roman" w:hAnsi="Times New Roman" w:cs="Times New Roman"/>
                <w:bCs/>
                <w:sz w:val="24"/>
                <w:szCs w:val="24"/>
              </w:rPr>
              <w:t>месторождения глин: в местечке Тыла-ю, в районе с. Выльгорт имеются голубые и керамзитные глины, месторождение «Тылаюское» имеет запасы суглинков для керамзита в объеме 11054 тыс. куб.м.; имеются глины для производства кирпича в д. Прокопьевка.</w:t>
            </w:r>
          </w:p>
          <w:p w14:paraId="28A3B4DC" w14:textId="77777777" w:rsidR="00C14252" w:rsidRPr="00C14252" w:rsidRDefault="00C14252" w:rsidP="00C142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</w:t>
            </w:r>
          </w:p>
          <w:p w14:paraId="01146F9E" w14:textId="1E9EA7B7" w:rsidR="002F2D52" w:rsidRDefault="00C14252" w:rsidP="00C14252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14252">
              <w:rPr>
                <w:rFonts w:ascii="Times New Roman" w:hAnsi="Times New Roman" w:cs="Times New Roman"/>
                <w:sz w:val="24"/>
                <w:szCs w:val="24"/>
              </w:rPr>
              <w:t>- создан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C14252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140C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4252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экономической эффективности и конкурентоспособности хозяйствующих субъектов, в том числе за счет обеспечения равного доступа к государственным и муниципальным услугам в данной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D52" w14:paraId="54E27633" w14:textId="77777777" w:rsidTr="00CC7A7B">
        <w:tc>
          <w:tcPr>
            <w:tcW w:w="664" w:type="dxa"/>
          </w:tcPr>
          <w:p w14:paraId="0AF1AEE2" w14:textId="1EF9F923" w:rsidR="002F2D52" w:rsidRPr="00DF4AF7" w:rsidRDefault="002F2D52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</w:t>
            </w:r>
          </w:p>
        </w:tc>
        <w:tc>
          <w:tcPr>
            <w:tcW w:w="4526" w:type="dxa"/>
            <w:gridSpan w:val="2"/>
          </w:tcPr>
          <w:p w14:paraId="74CED789" w14:textId="3FDABFD3" w:rsidR="002F2D52" w:rsidRPr="002F2D52" w:rsidRDefault="002F2D52" w:rsidP="00F951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2D52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недропользователями условий пользования недрами</w:t>
            </w:r>
          </w:p>
        </w:tc>
        <w:tc>
          <w:tcPr>
            <w:tcW w:w="1331" w:type="dxa"/>
          </w:tcPr>
          <w:p w14:paraId="6291CFFF" w14:textId="77777777" w:rsidR="002F2D52" w:rsidRPr="001E7353" w:rsidRDefault="002F2D52" w:rsidP="002F2D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  <w:p w14:paraId="3E2F8EE4" w14:textId="77777777" w:rsidR="002F2D52" w:rsidRPr="00035627" w:rsidRDefault="002F2D52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899EDD" w14:textId="1A6F7BE1" w:rsidR="002F2D52" w:rsidRPr="002F2D52" w:rsidRDefault="002F2D52" w:rsidP="00F95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5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373" w:type="dxa"/>
          </w:tcPr>
          <w:p w14:paraId="57A05C8D" w14:textId="66548981" w:rsidR="002F2D52" w:rsidRPr="002A365C" w:rsidRDefault="002F2D52" w:rsidP="00F95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365C">
              <w:rPr>
                <w:rFonts w:ascii="Times New Roman" w:hAnsi="Times New Roman" w:cs="Times New Roman"/>
                <w:sz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1101" w:type="dxa"/>
            <w:gridSpan w:val="2"/>
          </w:tcPr>
          <w:p w14:paraId="3E0B6603" w14:textId="3858E4BA" w:rsidR="002F2D52" w:rsidRPr="00821FB3" w:rsidRDefault="002F2D52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7" w:type="dxa"/>
            <w:gridSpan w:val="2"/>
          </w:tcPr>
          <w:p w14:paraId="5655644B" w14:textId="7BFEA386" w:rsidR="002F2D52" w:rsidRPr="00821FB3" w:rsidRDefault="002F2D52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82" w:type="dxa"/>
            <w:gridSpan w:val="2"/>
          </w:tcPr>
          <w:p w14:paraId="24F57DF8" w14:textId="547E79B6" w:rsidR="002F2D52" w:rsidRPr="00821FB3" w:rsidRDefault="002F2D52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6" w:type="dxa"/>
            <w:gridSpan w:val="2"/>
          </w:tcPr>
          <w:p w14:paraId="78EE5C12" w14:textId="1B82CB06" w:rsidR="002F2D52" w:rsidRPr="00354C19" w:rsidRDefault="00354C19" w:rsidP="00F95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701" w:type="dxa"/>
          </w:tcPr>
          <w:p w14:paraId="6B4F1B98" w14:textId="6A1EE5CD" w:rsidR="002F2D52" w:rsidRDefault="002F2D52" w:rsidP="00F95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7160">
              <w:rPr>
                <w:rFonts w:ascii="Times New Roman" w:hAnsi="Times New Roman" w:cs="Times New Roman"/>
                <w:sz w:val="24"/>
              </w:rPr>
              <w:t>управление жилищно-коммунального хозяйства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77160">
              <w:rPr>
                <w:rFonts w:ascii="Times New Roman" w:hAnsi="Times New Roman" w:cs="Times New Roman"/>
                <w:sz w:val="24"/>
              </w:rPr>
              <w:t>управление земельных и имущественных отношений</w:t>
            </w:r>
          </w:p>
        </w:tc>
      </w:tr>
    </w:tbl>
    <w:p w14:paraId="0F69D983" w14:textId="77777777" w:rsidR="00F91C18" w:rsidRDefault="00F91C18" w:rsidP="00F91C18">
      <w:pPr>
        <w:rPr>
          <w:rFonts w:ascii="Times New Roman" w:hAnsi="Times New Roman" w:cs="Times New Roman"/>
        </w:rPr>
      </w:pPr>
    </w:p>
    <w:p w14:paraId="6ACA32C1" w14:textId="77777777" w:rsidR="0030034C" w:rsidRPr="005A7E05" w:rsidRDefault="0030034C" w:rsidP="0030034C">
      <w:pPr>
        <w:jc w:val="center"/>
        <w:rPr>
          <w:rFonts w:ascii="Times New Roman" w:hAnsi="Times New Roman" w:cs="Times New Roman"/>
          <w:b/>
          <w:sz w:val="24"/>
        </w:rPr>
      </w:pPr>
    </w:p>
    <w:p w14:paraId="6A0A10D8" w14:textId="77777777" w:rsidR="005A7E05" w:rsidRPr="005A7E05" w:rsidRDefault="005A7E05" w:rsidP="00CC7A7B">
      <w:pPr>
        <w:rPr>
          <w:rFonts w:ascii="Times New Roman" w:hAnsi="Times New Roman" w:cs="Times New Roman"/>
          <w:b/>
          <w:sz w:val="24"/>
        </w:rPr>
      </w:pPr>
    </w:p>
    <w:sectPr w:rsidR="005A7E05" w:rsidRPr="005A7E05" w:rsidSect="00DF4AF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8E81D" w14:textId="77777777" w:rsidR="00416155" w:rsidRDefault="00416155" w:rsidP="00416155">
      <w:pPr>
        <w:spacing w:after="0" w:line="240" w:lineRule="auto"/>
      </w:pPr>
      <w:r>
        <w:separator/>
      </w:r>
    </w:p>
  </w:endnote>
  <w:endnote w:type="continuationSeparator" w:id="0">
    <w:p w14:paraId="1FE2CEED" w14:textId="77777777" w:rsidR="00416155" w:rsidRDefault="00416155" w:rsidP="0041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9DA53" w14:textId="77777777" w:rsidR="00416155" w:rsidRDefault="00416155" w:rsidP="00416155">
      <w:pPr>
        <w:spacing w:after="0" w:line="240" w:lineRule="auto"/>
      </w:pPr>
      <w:r>
        <w:separator/>
      </w:r>
    </w:p>
  </w:footnote>
  <w:footnote w:type="continuationSeparator" w:id="0">
    <w:p w14:paraId="64E2DC7B" w14:textId="77777777" w:rsidR="00416155" w:rsidRDefault="00416155" w:rsidP="0041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C29"/>
    <w:multiLevelType w:val="hybridMultilevel"/>
    <w:tmpl w:val="F88A52D0"/>
    <w:lvl w:ilvl="0" w:tplc="9216F6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4125E"/>
    <w:multiLevelType w:val="multilevel"/>
    <w:tmpl w:val="87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C37CD"/>
    <w:multiLevelType w:val="hybridMultilevel"/>
    <w:tmpl w:val="1CC064D8"/>
    <w:lvl w:ilvl="0" w:tplc="5D18BF5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91395"/>
    <w:multiLevelType w:val="hybridMultilevel"/>
    <w:tmpl w:val="F88A52D0"/>
    <w:lvl w:ilvl="0" w:tplc="9216F6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E6229"/>
    <w:multiLevelType w:val="hybridMultilevel"/>
    <w:tmpl w:val="C494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42CC3"/>
    <w:multiLevelType w:val="hybridMultilevel"/>
    <w:tmpl w:val="F74603C0"/>
    <w:lvl w:ilvl="0" w:tplc="9216F664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FA3CAD"/>
    <w:multiLevelType w:val="hybridMultilevel"/>
    <w:tmpl w:val="C4B276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D2BDA"/>
    <w:multiLevelType w:val="hybridMultilevel"/>
    <w:tmpl w:val="C494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9100B"/>
    <w:multiLevelType w:val="hybridMultilevel"/>
    <w:tmpl w:val="45D2ECD0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286534"/>
    <w:multiLevelType w:val="hybridMultilevel"/>
    <w:tmpl w:val="F88A52D0"/>
    <w:lvl w:ilvl="0" w:tplc="9216F6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B4275D"/>
    <w:multiLevelType w:val="hybridMultilevel"/>
    <w:tmpl w:val="3AE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41B71"/>
    <w:multiLevelType w:val="hybridMultilevel"/>
    <w:tmpl w:val="461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849EF"/>
    <w:multiLevelType w:val="hybridMultilevel"/>
    <w:tmpl w:val="F74603C0"/>
    <w:lvl w:ilvl="0" w:tplc="9216F664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F21945"/>
    <w:multiLevelType w:val="hybridMultilevel"/>
    <w:tmpl w:val="695AFB3E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5F"/>
    <w:rsid w:val="00000EC2"/>
    <w:rsid w:val="0001384E"/>
    <w:rsid w:val="000200DE"/>
    <w:rsid w:val="00037D8D"/>
    <w:rsid w:val="00062288"/>
    <w:rsid w:val="000924EC"/>
    <w:rsid w:val="000D68ED"/>
    <w:rsid w:val="00140CAD"/>
    <w:rsid w:val="00153CED"/>
    <w:rsid w:val="00163E34"/>
    <w:rsid w:val="00174797"/>
    <w:rsid w:val="00181903"/>
    <w:rsid w:val="001867F1"/>
    <w:rsid w:val="001928E3"/>
    <w:rsid w:val="001A28A3"/>
    <w:rsid w:val="001B640B"/>
    <w:rsid w:val="001D4424"/>
    <w:rsid w:val="001F1A09"/>
    <w:rsid w:val="001F285F"/>
    <w:rsid w:val="00215DCB"/>
    <w:rsid w:val="002B3C78"/>
    <w:rsid w:val="002F2D52"/>
    <w:rsid w:val="002F7B19"/>
    <w:rsid w:val="0030034C"/>
    <w:rsid w:val="00322C14"/>
    <w:rsid w:val="00327F88"/>
    <w:rsid w:val="00354C19"/>
    <w:rsid w:val="00357DD8"/>
    <w:rsid w:val="00360660"/>
    <w:rsid w:val="00370929"/>
    <w:rsid w:val="00377160"/>
    <w:rsid w:val="003C65CF"/>
    <w:rsid w:val="00416155"/>
    <w:rsid w:val="0044631D"/>
    <w:rsid w:val="0047431B"/>
    <w:rsid w:val="004828F9"/>
    <w:rsid w:val="004929E3"/>
    <w:rsid w:val="00505E35"/>
    <w:rsid w:val="00526EF7"/>
    <w:rsid w:val="005308F6"/>
    <w:rsid w:val="0055730D"/>
    <w:rsid w:val="00561F4E"/>
    <w:rsid w:val="00576C29"/>
    <w:rsid w:val="005A7E05"/>
    <w:rsid w:val="005B4B86"/>
    <w:rsid w:val="005E2C8C"/>
    <w:rsid w:val="00613F22"/>
    <w:rsid w:val="006178E2"/>
    <w:rsid w:val="00653A2E"/>
    <w:rsid w:val="00660AED"/>
    <w:rsid w:val="006755DC"/>
    <w:rsid w:val="006951DE"/>
    <w:rsid w:val="006A6FD7"/>
    <w:rsid w:val="006C403B"/>
    <w:rsid w:val="00720EF5"/>
    <w:rsid w:val="00726A08"/>
    <w:rsid w:val="00740F71"/>
    <w:rsid w:val="007704D5"/>
    <w:rsid w:val="007E341C"/>
    <w:rsid w:val="00804338"/>
    <w:rsid w:val="0082295F"/>
    <w:rsid w:val="00831FAC"/>
    <w:rsid w:val="008618D9"/>
    <w:rsid w:val="008C2126"/>
    <w:rsid w:val="00A03287"/>
    <w:rsid w:val="00A14307"/>
    <w:rsid w:val="00A30628"/>
    <w:rsid w:val="00A729AD"/>
    <w:rsid w:val="00AE1BEC"/>
    <w:rsid w:val="00B02AF4"/>
    <w:rsid w:val="00B13ECF"/>
    <w:rsid w:val="00B20EC3"/>
    <w:rsid w:val="00B340B1"/>
    <w:rsid w:val="00B35B56"/>
    <w:rsid w:val="00B43D34"/>
    <w:rsid w:val="00B46EDC"/>
    <w:rsid w:val="00B704C3"/>
    <w:rsid w:val="00B7296A"/>
    <w:rsid w:val="00B763D9"/>
    <w:rsid w:val="00B90B3F"/>
    <w:rsid w:val="00B93163"/>
    <w:rsid w:val="00BD6DF2"/>
    <w:rsid w:val="00C14252"/>
    <w:rsid w:val="00C953B0"/>
    <w:rsid w:val="00CC7A7B"/>
    <w:rsid w:val="00CD3115"/>
    <w:rsid w:val="00CF124A"/>
    <w:rsid w:val="00D24300"/>
    <w:rsid w:val="00D35F7A"/>
    <w:rsid w:val="00D7003B"/>
    <w:rsid w:val="00D946AE"/>
    <w:rsid w:val="00DC2B79"/>
    <w:rsid w:val="00DD1E3B"/>
    <w:rsid w:val="00DE1AFA"/>
    <w:rsid w:val="00DF4AF7"/>
    <w:rsid w:val="00E33B7F"/>
    <w:rsid w:val="00E35F1D"/>
    <w:rsid w:val="00E47FA9"/>
    <w:rsid w:val="00E6197A"/>
    <w:rsid w:val="00E63FCC"/>
    <w:rsid w:val="00E668D4"/>
    <w:rsid w:val="00E755F7"/>
    <w:rsid w:val="00EB7CE6"/>
    <w:rsid w:val="00EC5FC2"/>
    <w:rsid w:val="00EE4996"/>
    <w:rsid w:val="00F504D0"/>
    <w:rsid w:val="00F61A79"/>
    <w:rsid w:val="00F91C18"/>
    <w:rsid w:val="00F95165"/>
    <w:rsid w:val="00FA65B7"/>
    <w:rsid w:val="00F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6D32"/>
  <w15:docId w15:val="{CA340715-5B4D-4302-BC73-6390C1BF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С - Нумерованный,Булит,Нумерация,List Paragraph,Bullet List,FooterText,numbered,Paragraphe de liste1,lp1,Bullet 1,Use Case List Paragraph,ПАРАГРАФ,список 1,Варианты ответов,Абзац списка1"/>
    <w:basedOn w:val="a"/>
    <w:link w:val="a5"/>
    <w:uiPriority w:val="34"/>
    <w:qFormat/>
    <w:rsid w:val="005A7E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A0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F91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1C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92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4"/>
    <w:uiPriority w:val="34"/>
    <w:locked/>
    <w:rsid w:val="00CC7A7B"/>
  </w:style>
  <w:style w:type="paragraph" w:customStyle="1" w:styleId="ConsPlusTitle">
    <w:name w:val="ConsPlusTitle"/>
    <w:rsid w:val="00482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40F71"/>
    <w:rPr>
      <w:color w:val="0000FF"/>
      <w:u w:val="single"/>
    </w:rPr>
  </w:style>
  <w:style w:type="paragraph" w:customStyle="1" w:styleId="ConsPlusNonformat">
    <w:name w:val="ConsPlusNonformat"/>
    <w:rsid w:val="001747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6155"/>
  </w:style>
  <w:style w:type="paragraph" w:styleId="ab">
    <w:name w:val="footer"/>
    <w:basedOn w:val="a"/>
    <w:link w:val="ac"/>
    <w:uiPriority w:val="99"/>
    <w:unhideWhenUsed/>
    <w:rsid w:val="0041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306BE598EE74F78349580DCDBA23190FAB1EB58B6E2406F2D612851518850B3D587718730557FBB068C2731976BDD70A1BFC7CDF2393C8F0B0031u1g8N" TargetMode="External"/><Relationship Id="rId13" Type="http://schemas.openxmlformats.org/officeDocument/2006/relationships/hyperlink" Target="consultantplus://offline/ref=7E7306BE598EE74F78349580DCDBA23190FAB1EB58B6E2406F2D612851518850B3D587718730557FBB068C2731976BDD70A1BFC7CDF2393C8F0B0031u1g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7306BE598EE74F78349580DCDBA23190FAB1EB58B6E2406F2D612851518850B3D587718730557FBB068C2731976BDD70A1BFC7CDF2393C8F0B0031u1g8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7306BE598EE74F78349580DCDBA23190FAB1EB58B6E2406F2D612851518850B3D587718730557FBB068C2731976BDD70A1BFC7CDF2393C8F0B0031u1g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7306BE598EE74F78348B8DCAB7FC3595F3ECE759B2E9113B7A677F0E018E05F3958124C474587FBC0DD87775C9328E36EAB2C4D1EE393Fu9g1N" TargetMode="External"/><Relationship Id="rId10" Type="http://schemas.openxmlformats.org/officeDocument/2006/relationships/hyperlink" Target="http://syktyvdin.ru/ru/page/residents.housing.uk_tsg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7306BE598EE74F78348B8DCAB7FC3595F3ECE759B2E9113B7A677F0E018E05F3958124C474587FBC0DD87775C9328E36EAB2C4D1EE393Fu9g1N" TargetMode="External"/><Relationship Id="rId14" Type="http://schemas.openxmlformats.org/officeDocument/2006/relationships/hyperlink" Target="consultantplus://offline/ref=7E7306BE598EE74F78349580DCDBA23190FAB1EB58B6E2406F2D612851518850B3D587718730557FBB068C2731976BDD70A1BFC7CDF2393C8F0B0031u1g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C0E4-CE70-4939-8BF2-B9B7A827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4538</Words>
  <Characters>25872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Екатерина Юрьевна</dc:creator>
  <cp:keywords/>
  <dc:description/>
  <cp:lastModifiedBy>Puser03_0</cp:lastModifiedBy>
  <cp:revision>17</cp:revision>
  <cp:lastPrinted>2020-02-14T11:34:00Z</cp:lastPrinted>
  <dcterms:created xsi:type="dcterms:W3CDTF">2020-02-13T09:42:00Z</dcterms:created>
  <dcterms:modified xsi:type="dcterms:W3CDTF">2020-02-25T14:13:00Z</dcterms:modified>
</cp:coreProperties>
</file>